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97190" w14:textId="77777777" w:rsidR="001F3C96" w:rsidRDefault="001F3C96" w:rsidP="001F3C96">
      <w:pPr>
        <w:pStyle w:val="Title"/>
      </w:pPr>
      <w:bookmarkStart w:id="0" w:name="_ljs_searchstart"/>
      <w:r w:rsidRPr="001761E9">
        <w:t>IN THE</w:t>
      </w:r>
      <w:r>
        <w:br/>
      </w:r>
      <w:r w:rsidRPr="00AD5270">
        <w:t>UNITED STATES COURT OF APPEALS</w:t>
      </w:r>
      <w:r>
        <w:br/>
      </w:r>
      <w:r w:rsidRPr="00AD5270">
        <w:t>FOR THE SEVENTH CIRCUIT</w:t>
      </w:r>
      <w:r>
        <w:br/>
      </w:r>
      <w:r w:rsidRPr="00AD5270">
        <w:t>________________</w:t>
      </w:r>
    </w:p>
    <w:p w14:paraId="6F3677A1" w14:textId="77777777" w:rsidR="001F3C96" w:rsidRDefault="00304EF8" w:rsidP="001F3C96">
      <w:pPr>
        <w:pStyle w:val="Title"/>
      </w:pPr>
      <w:r>
        <w:t>13</w:t>
      </w:r>
      <w:r w:rsidR="001F3C96" w:rsidRPr="001761E9">
        <w:t>-3049</w:t>
      </w:r>
    </w:p>
    <w:p w14:paraId="17983EEC" w14:textId="77777777" w:rsidR="001F3C96" w:rsidRPr="00AD5270" w:rsidRDefault="001F3C96" w:rsidP="001F3C96">
      <w:pPr>
        <w:pStyle w:val="Title"/>
        <w:rPr>
          <w:b w:val="0"/>
        </w:rPr>
      </w:pPr>
      <w:r w:rsidRPr="00AD5270">
        <w:rPr>
          <w:b w:val="0"/>
        </w:rPr>
        <w:t>________________</w:t>
      </w:r>
    </w:p>
    <w:p w14:paraId="46B298B5" w14:textId="77777777" w:rsidR="001F3C96" w:rsidRPr="00AD5270" w:rsidRDefault="001F3C96" w:rsidP="001F3C96">
      <w:pPr>
        <w:pStyle w:val="Title"/>
        <w:rPr>
          <w:b w:val="0"/>
        </w:rPr>
      </w:pPr>
      <w:r w:rsidRPr="00AD5270">
        <w:rPr>
          <w:b w:val="0"/>
        </w:rPr>
        <w:t>___________________________________________</w:t>
      </w:r>
      <w:r>
        <w:rPr>
          <w:b w:val="0"/>
        </w:rPr>
        <w:t>_____________________________</w:t>
      </w:r>
    </w:p>
    <w:tbl>
      <w:tblPr>
        <w:tblStyle w:val="TableGrid"/>
        <w:tblW w:w="8469" w:type="dxa"/>
        <w:jc w:val="center"/>
        <w:tblLook w:val="01E0" w:firstRow="1" w:lastRow="1" w:firstColumn="1" w:lastColumn="1" w:noHBand="0" w:noVBand="0"/>
      </w:tblPr>
      <w:tblGrid>
        <w:gridCol w:w="3997"/>
        <w:gridCol w:w="416"/>
        <w:gridCol w:w="4056"/>
      </w:tblGrid>
      <w:tr w:rsidR="001F3C96" w:rsidRPr="001761E9" w14:paraId="49494F2A" w14:textId="77777777" w:rsidTr="004B65F2">
        <w:trPr>
          <w:jc w:val="center"/>
        </w:trPr>
        <w:tc>
          <w:tcPr>
            <w:tcW w:w="3997" w:type="dxa"/>
          </w:tcPr>
          <w:p w14:paraId="4C9941B4" w14:textId="7A56B7BE" w:rsidR="001F3C96" w:rsidRPr="001761E9" w:rsidRDefault="00790F3E" w:rsidP="004B65F2">
            <w:pPr>
              <w:rPr>
                <w:b/>
              </w:rPr>
            </w:pPr>
            <w:r>
              <w:rPr>
                <w:b/>
              </w:rPr>
              <w:t>PERSON A</w:t>
            </w:r>
            <w:r w:rsidR="001F3C96">
              <w:rPr>
                <w:b/>
              </w:rPr>
              <w:t>,</w:t>
            </w:r>
          </w:p>
        </w:tc>
        <w:tc>
          <w:tcPr>
            <w:tcW w:w="416" w:type="dxa"/>
          </w:tcPr>
          <w:p w14:paraId="2E7A6A16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2944A3B6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Appeal from the</w:t>
            </w:r>
          </w:p>
        </w:tc>
      </w:tr>
      <w:tr w:rsidR="001F3C96" w:rsidRPr="001761E9" w14:paraId="16F96158" w14:textId="77777777" w:rsidTr="004B65F2">
        <w:trPr>
          <w:jc w:val="center"/>
        </w:trPr>
        <w:tc>
          <w:tcPr>
            <w:tcW w:w="3997" w:type="dxa"/>
          </w:tcPr>
          <w:p w14:paraId="1C6ED421" w14:textId="77777777" w:rsidR="001F3C96" w:rsidRPr="001761E9" w:rsidRDefault="001F3C96" w:rsidP="004B65F2">
            <w:pPr>
              <w:rPr>
                <w:b/>
              </w:rPr>
            </w:pPr>
          </w:p>
        </w:tc>
        <w:tc>
          <w:tcPr>
            <w:tcW w:w="416" w:type="dxa"/>
          </w:tcPr>
          <w:p w14:paraId="62CCAF9B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6179C14C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United States District Court</w:t>
            </w:r>
          </w:p>
        </w:tc>
      </w:tr>
      <w:tr w:rsidR="001F3C96" w:rsidRPr="001761E9" w14:paraId="66FBB167" w14:textId="77777777" w:rsidTr="004B65F2">
        <w:trPr>
          <w:jc w:val="center"/>
        </w:trPr>
        <w:tc>
          <w:tcPr>
            <w:tcW w:w="3997" w:type="dxa"/>
          </w:tcPr>
          <w:p w14:paraId="7818338C" w14:textId="77777777" w:rsidR="001F3C96" w:rsidRPr="001761E9" w:rsidRDefault="001F3C96" w:rsidP="004B65F2">
            <w:pPr>
              <w:pStyle w:val="Indent"/>
            </w:pPr>
            <w:r>
              <w:t>Plaintiff-Appellant,</w:t>
            </w:r>
          </w:p>
        </w:tc>
        <w:tc>
          <w:tcPr>
            <w:tcW w:w="416" w:type="dxa"/>
          </w:tcPr>
          <w:p w14:paraId="537E861B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37EBAA94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for the Northern District of Indiana,</w:t>
            </w:r>
          </w:p>
        </w:tc>
      </w:tr>
      <w:tr w:rsidR="001F3C96" w:rsidRPr="001761E9" w14:paraId="2DF1870E" w14:textId="77777777" w:rsidTr="004B65F2">
        <w:trPr>
          <w:jc w:val="center"/>
        </w:trPr>
        <w:tc>
          <w:tcPr>
            <w:tcW w:w="3997" w:type="dxa"/>
          </w:tcPr>
          <w:p w14:paraId="60D19AC0" w14:textId="77777777" w:rsidR="001F3C96" w:rsidRPr="001761E9" w:rsidRDefault="001F3C96" w:rsidP="004B65F2">
            <w:pPr>
              <w:rPr>
                <w:b/>
              </w:rPr>
            </w:pPr>
          </w:p>
        </w:tc>
        <w:tc>
          <w:tcPr>
            <w:tcW w:w="416" w:type="dxa"/>
          </w:tcPr>
          <w:p w14:paraId="642AABE3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54111222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South Bend Division.</w:t>
            </w:r>
          </w:p>
        </w:tc>
      </w:tr>
      <w:tr w:rsidR="001F3C96" w:rsidRPr="001761E9" w14:paraId="432C6635" w14:textId="77777777" w:rsidTr="004B65F2">
        <w:trPr>
          <w:jc w:val="center"/>
        </w:trPr>
        <w:tc>
          <w:tcPr>
            <w:tcW w:w="3997" w:type="dxa"/>
          </w:tcPr>
          <w:p w14:paraId="25D702B9" w14:textId="77777777" w:rsidR="001F3C96" w:rsidRPr="001761E9" w:rsidRDefault="001F3C96" w:rsidP="004B65F2">
            <w:pPr>
              <w:rPr>
                <w:b/>
              </w:rPr>
            </w:pPr>
          </w:p>
        </w:tc>
        <w:tc>
          <w:tcPr>
            <w:tcW w:w="416" w:type="dxa"/>
          </w:tcPr>
          <w:p w14:paraId="4490367E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6B875DF5" w14:textId="77777777" w:rsidR="001F3C96" w:rsidRPr="001761E9" w:rsidRDefault="001F3C96" w:rsidP="004B65F2">
            <w:pPr>
              <w:rPr>
                <w:b/>
              </w:rPr>
            </w:pPr>
          </w:p>
        </w:tc>
      </w:tr>
      <w:tr w:rsidR="001F3C96" w:rsidRPr="001761E9" w14:paraId="7C5A5FEC" w14:textId="77777777" w:rsidTr="004B65F2">
        <w:trPr>
          <w:jc w:val="center"/>
        </w:trPr>
        <w:tc>
          <w:tcPr>
            <w:tcW w:w="3997" w:type="dxa"/>
          </w:tcPr>
          <w:p w14:paraId="1959CFCE" w14:textId="77777777" w:rsidR="001F3C96" w:rsidRPr="001761E9" w:rsidRDefault="001F3C96" w:rsidP="004B65F2">
            <w:pPr>
              <w:pStyle w:val="Indent"/>
            </w:pPr>
            <w:r w:rsidRPr="001761E9">
              <w:t>v.</w:t>
            </w:r>
          </w:p>
        </w:tc>
        <w:tc>
          <w:tcPr>
            <w:tcW w:w="416" w:type="dxa"/>
          </w:tcPr>
          <w:p w14:paraId="2585CF6E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19736E47" w14:textId="77777777" w:rsidR="001F3C96" w:rsidRPr="001761E9" w:rsidRDefault="001F3C96" w:rsidP="004B65F2">
            <w:pPr>
              <w:rPr>
                <w:b/>
              </w:rPr>
            </w:pPr>
          </w:p>
        </w:tc>
      </w:tr>
      <w:tr w:rsidR="001F3C96" w:rsidRPr="001761E9" w14:paraId="1EFC0BCE" w14:textId="77777777" w:rsidTr="004B65F2">
        <w:trPr>
          <w:jc w:val="center"/>
        </w:trPr>
        <w:tc>
          <w:tcPr>
            <w:tcW w:w="3997" w:type="dxa"/>
          </w:tcPr>
          <w:p w14:paraId="321EE18A" w14:textId="77777777" w:rsidR="001F3C96" w:rsidRPr="001761E9" w:rsidRDefault="001F3C96" w:rsidP="004B65F2">
            <w:pPr>
              <w:rPr>
                <w:b/>
              </w:rPr>
            </w:pPr>
          </w:p>
        </w:tc>
        <w:tc>
          <w:tcPr>
            <w:tcW w:w="416" w:type="dxa"/>
          </w:tcPr>
          <w:p w14:paraId="65BF27E6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716A884E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No. 3:01CV0723AS</w:t>
            </w:r>
          </w:p>
        </w:tc>
      </w:tr>
      <w:tr w:rsidR="001F3C96" w:rsidRPr="001761E9" w14:paraId="3CC128D6" w14:textId="77777777" w:rsidTr="004B65F2">
        <w:trPr>
          <w:jc w:val="center"/>
        </w:trPr>
        <w:tc>
          <w:tcPr>
            <w:tcW w:w="3997" w:type="dxa"/>
          </w:tcPr>
          <w:p w14:paraId="465D8DDD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UNITED STATES OF AMERICA,</w:t>
            </w:r>
          </w:p>
        </w:tc>
        <w:tc>
          <w:tcPr>
            <w:tcW w:w="416" w:type="dxa"/>
          </w:tcPr>
          <w:p w14:paraId="0E1841B0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539CADB7" w14:textId="77777777" w:rsidR="001F3C96" w:rsidRPr="001761E9" w:rsidRDefault="001F3C96" w:rsidP="004B65F2">
            <w:pPr>
              <w:rPr>
                <w:b/>
              </w:rPr>
            </w:pPr>
          </w:p>
        </w:tc>
      </w:tr>
      <w:tr w:rsidR="001F3C96" w:rsidRPr="001761E9" w14:paraId="7AA3B681" w14:textId="77777777" w:rsidTr="004B65F2">
        <w:trPr>
          <w:jc w:val="center"/>
        </w:trPr>
        <w:tc>
          <w:tcPr>
            <w:tcW w:w="3997" w:type="dxa"/>
          </w:tcPr>
          <w:p w14:paraId="59486E09" w14:textId="77777777" w:rsidR="001F3C96" w:rsidRPr="001761E9" w:rsidRDefault="001F3C96" w:rsidP="004B65F2">
            <w:pPr>
              <w:rPr>
                <w:b/>
              </w:rPr>
            </w:pPr>
          </w:p>
        </w:tc>
        <w:tc>
          <w:tcPr>
            <w:tcW w:w="416" w:type="dxa"/>
          </w:tcPr>
          <w:p w14:paraId="4AB2365F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31DCB1F4" w14:textId="67259819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 xml:space="preserve">Honorable </w:t>
            </w:r>
            <w:r w:rsidR="00790F3E">
              <w:rPr>
                <w:b/>
              </w:rPr>
              <w:t>Joseph</w:t>
            </w:r>
            <w:r w:rsidRPr="001761E9">
              <w:rPr>
                <w:b/>
              </w:rPr>
              <w:t xml:space="preserve"> S</w:t>
            </w:r>
            <w:r w:rsidR="00790F3E">
              <w:rPr>
                <w:b/>
              </w:rPr>
              <w:t>mith,</w:t>
            </w:r>
          </w:p>
        </w:tc>
      </w:tr>
      <w:tr w:rsidR="001F3C96" w:rsidRPr="001761E9" w14:paraId="6BCDF114" w14:textId="77777777" w:rsidTr="004B65F2">
        <w:trPr>
          <w:jc w:val="center"/>
        </w:trPr>
        <w:tc>
          <w:tcPr>
            <w:tcW w:w="3997" w:type="dxa"/>
          </w:tcPr>
          <w:p w14:paraId="759D5D09" w14:textId="77777777" w:rsidR="001F3C96" w:rsidRPr="001761E9" w:rsidRDefault="001F3C96" w:rsidP="004B65F2">
            <w:pPr>
              <w:pStyle w:val="Indent"/>
            </w:pPr>
            <w:r w:rsidRPr="001761E9">
              <w:t>Defendant-Appellee.</w:t>
            </w:r>
          </w:p>
        </w:tc>
        <w:tc>
          <w:tcPr>
            <w:tcW w:w="416" w:type="dxa"/>
          </w:tcPr>
          <w:p w14:paraId="31070AF2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)</w:t>
            </w:r>
          </w:p>
        </w:tc>
        <w:tc>
          <w:tcPr>
            <w:tcW w:w="4056" w:type="dxa"/>
          </w:tcPr>
          <w:p w14:paraId="763BB64F" w14:textId="77777777" w:rsidR="001F3C96" w:rsidRPr="001761E9" w:rsidRDefault="001F3C96" w:rsidP="004B65F2">
            <w:pPr>
              <w:rPr>
                <w:b/>
              </w:rPr>
            </w:pPr>
            <w:r w:rsidRPr="001761E9">
              <w:rPr>
                <w:b/>
              </w:rPr>
              <w:t>District Judge</w:t>
            </w:r>
          </w:p>
        </w:tc>
      </w:tr>
    </w:tbl>
    <w:p w14:paraId="56A67A2F" w14:textId="77777777" w:rsidR="001F3C96" w:rsidRPr="00AD5270" w:rsidRDefault="001F3C96" w:rsidP="001F3C96">
      <w:pPr>
        <w:pStyle w:val="Title2"/>
      </w:pPr>
      <w:r w:rsidRPr="00AD5270">
        <w:t>BRIEF AND APPENDIX OF THE</w:t>
      </w:r>
      <w:r>
        <w:br/>
      </w:r>
      <w:r w:rsidRPr="00AD5270">
        <w:t>DEFENDANT-APPELLEE UNITED STATES OF AMERICA</w:t>
      </w:r>
    </w:p>
    <w:p w14:paraId="4BAA48E5" w14:textId="51F02F31" w:rsidR="001F3C96" w:rsidRDefault="00790F3E" w:rsidP="001F3C96">
      <w:pPr>
        <w:pStyle w:val="Signature"/>
      </w:pPr>
      <w:r>
        <w:t>JOHN SMITH</w:t>
      </w:r>
    </w:p>
    <w:p w14:paraId="5EBB61A4" w14:textId="77777777" w:rsidR="001F3C96" w:rsidRDefault="001F3C96" w:rsidP="001F3C96">
      <w:pPr>
        <w:pStyle w:val="Signature"/>
      </w:pPr>
      <w:r>
        <w:t>UNITED STATES ATTORNEY</w:t>
      </w:r>
    </w:p>
    <w:p w14:paraId="559DB25C" w14:textId="77777777" w:rsidR="001F3C96" w:rsidRDefault="001F3C96" w:rsidP="001F3C96">
      <w:pPr>
        <w:pStyle w:val="Signature"/>
      </w:pPr>
    </w:p>
    <w:p w14:paraId="072F5D30" w14:textId="7A727BFA" w:rsidR="001F3C96" w:rsidRDefault="00790F3E" w:rsidP="001F3C96">
      <w:pPr>
        <w:pStyle w:val="Signature"/>
        <w:sectPr w:rsidR="001F3C96" w:rsidSect="001F3C96"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t>Jill Smith</w:t>
      </w:r>
      <w:r w:rsidR="001F3C96">
        <w:br/>
        <w:t>Assistant United States Attorney</w:t>
      </w:r>
    </w:p>
    <w:p w14:paraId="3F16AA2B" w14:textId="35A38F0B" w:rsidR="0038026A" w:rsidRDefault="001F3C96" w:rsidP="001F3C96">
      <w:pPr>
        <w:pStyle w:val="Title"/>
      </w:pPr>
      <w:r>
        <w:lastRenderedPageBreak/>
        <w:t xml:space="preserve">tABLE OF </w:t>
      </w:r>
      <w:r w:rsidR="007240AB">
        <w:t>Contents</w:t>
      </w:r>
      <w:commentRangeStart w:id="1"/>
      <w:commentRangeEnd w:id="1"/>
      <w:r w:rsidR="00DF5D94">
        <w:rPr>
          <w:rStyle w:val="CommentReference"/>
          <w:rFonts w:cs="Times New Roman"/>
          <w:b w:val="0"/>
          <w:bCs w:val="0"/>
          <w:caps w:val="0"/>
        </w:rPr>
        <w:commentReference w:id="1"/>
      </w:r>
    </w:p>
    <w:p w14:paraId="5AC5D465" w14:textId="2848F0FE" w:rsidR="008D357E" w:rsidRDefault="008D357E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\t "Heading 1,1,Heading 2,2,Subtitle,1" </w:instrText>
      </w:r>
      <w:r>
        <w:fldChar w:fldCharType="separate"/>
      </w:r>
      <w:hyperlink w:anchor="_Toc532819825" w:history="1">
        <w:r w:rsidRPr="00077216">
          <w:rPr>
            <w:rStyle w:val="Hyperlink"/>
            <w:noProof/>
          </w:rPr>
          <w:t>J</w:t>
        </w:r>
        <w:r w:rsidR="00790F3E">
          <w:rPr>
            <w:rStyle w:val="Hyperlink"/>
            <w:noProof/>
          </w:rPr>
          <w:t>u</w:t>
        </w:r>
        <w:r w:rsidRPr="00077216">
          <w:rPr>
            <w:rStyle w:val="Hyperlink"/>
            <w:noProof/>
          </w:rPr>
          <w:t>risdictional Statement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_Toc532819825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720147" w14:textId="34C9007C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26" w:history="1">
        <w:r w:rsidR="008D357E" w:rsidRPr="00077216">
          <w:rPr>
            <w:rStyle w:val="Hyperlink"/>
            <w:noProof/>
          </w:rPr>
          <w:t>Statement of the Case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_Toc532819826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2</w:t>
        </w:r>
        <w:r w:rsidR="008D357E">
          <w:rPr>
            <w:noProof/>
            <w:webHidden/>
          </w:rPr>
          <w:fldChar w:fldCharType="end"/>
        </w:r>
      </w:hyperlink>
    </w:p>
    <w:p w14:paraId="1AA7F1CA" w14:textId="1E87C562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27" w:history="1">
        <w:r w:rsidR="008D357E" w:rsidRPr="00077216">
          <w:rPr>
            <w:rStyle w:val="Hyperlink"/>
            <w:noProof/>
          </w:rPr>
          <w:t>Statement of the Facts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_Toc532819827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4</w:t>
        </w:r>
        <w:r w:rsidR="008D357E">
          <w:rPr>
            <w:noProof/>
            <w:webHidden/>
          </w:rPr>
          <w:fldChar w:fldCharType="end"/>
        </w:r>
      </w:hyperlink>
    </w:p>
    <w:p w14:paraId="37F38290" w14:textId="782F6B69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28" w:history="1">
        <w:r w:rsidR="008D357E" w:rsidRPr="00077216">
          <w:rPr>
            <w:rStyle w:val="Hyperlink"/>
            <w:noProof/>
          </w:rPr>
          <w:t>Summary of Argument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_Toc532819828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4</w:t>
        </w:r>
        <w:r w:rsidR="008D357E">
          <w:rPr>
            <w:noProof/>
            <w:webHidden/>
          </w:rPr>
          <w:fldChar w:fldCharType="end"/>
        </w:r>
      </w:hyperlink>
    </w:p>
    <w:p w14:paraId="13E4A049" w14:textId="7C0BBD8F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29" w:history="1">
        <w:r w:rsidR="008D357E" w:rsidRPr="00077216">
          <w:rPr>
            <w:rStyle w:val="Hyperlink"/>
            <w:noProof/>
          </w:rPr>
          <w:t>Argument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_Toc532819829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5</w:t>
        </w:r>
        <w:r w:rsidR="008D357E">
          <w:rPr>
            <w:noProof/>
            <w:webHidden/>
          </w:rPr>
          <w:fldChar w:fldCharType="end"/>
        </w:r>
      </w:hyperlink>
    </w:p>
    <w:p w14:paraId="44E5DF6B" w14:textId="2045F486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30" w:history="1">
        <w:r w:rsidR="008D357E" w:rsidRPr="00077216">
          <w:rPr>
            <w:rStyle w:val="Hyperlink"/>
            <w:noProof/>
          </w:rPr>
          <w:t>I.</w:t>
        </w:r>
        <w:r w:rsidR="008D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357E" w:rsidRPr="00077216">
          <w:rPr>
            <w:rStyle w:val="Hyperlink"/>
            <w:noProof/>
          </w:rPr>
          <w:t>The District Court Correctly Found that it Lacked Subject Matter Jurisdiction over Plaintiff’s FTCA Claim for Damages Because that Claim was Barred by 28 U.S.C. § 2680(c)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_Toc532819830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5</w:t>
        </w:r>
        <w:r w:rsidR="008D357E">
          <w:rPr>
            <w:noProof/>
            <w:webHidden/>
          </w:rPr>
          <w:fldChar w:fldCharType="end"/>
        </w:r>
      </w:hyperlink>
    </w:p>
    <w:p w14:paraId="41B8EFFA" w14:textId="5B569070" w:rsidR="008D357E" w:rsidRDefault="004476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31" w:history="1">
        <w:r w:rsidR="008D357E" w:rsidRPr="00077216">
          <w:rPr>
            <w:rStyle w:val="Hyperlink"/>
            <w:noProof/>
          </w:rPr>
          <w:t>A.</w:t>
        </w:r>
        <w:r w:rsidR="008D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357E" w:rsidRPr="00077216">
          <w:rPr>
            <w:rStyle w:val="Hyperlink"/>
            <w:noProof/>
          </w:rPr>
          <w:t>Standard of Review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_Toc532819831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5</w:t>
        </w:r>
        <w:r w:rsidR="008D357E">
          <w:rPr>
            <w:noProof/>
            <w:webHidden/>
          </w:rPr>
          <w:fldChar w:fldCharType="end"/>
        </w:r>
      </w:hyperlink>
    </w:p>
    <w:p w14:paraId="6EDB1712" w14:textId="472EA12D" w:rsidR="008D357E" w:rsidRDefault="004476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32" w:history="1">
        <w:r w:rsidR="008D357E" w:rsidRPr="00077216">
          <w:rPr>
            <w:rStyle w:val="Hyperlink"/>
            <w:noProof/>
          </w:rPr>
          <w:t>B.</w:t>
        </w:r>
        <w:r w:rsidR="008D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357E" w:rsidRPr="00077216">
          <w:rPr>
            <w:rStyle w:val="Hyperlink"/>
            <w:noProof/>
          </w:rPr>
          <w:t>The District Court Lacked Subject Matter Jurisdiction over Plaintiff’s FTCA Claim Because of 28 U.S.C. § 2680(c) Which Bars Claims Arising Out of the Assessment or Collection of Tax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_Toc532819832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5</w:t>
        </w:r>
        <w:r w:rsidR="008D357E">
          <w:rPr>
            <w:noProof/>
            <w:webHidden/>
          </w:rPr>
          <w:fldChar w:fldCharType="end"/>
        </w:r>
      </w:hyperlink>
    </w:p>
    <w:p w14:paraId="6610F1CB" w14:textId="38742C57" w:rsidR="008D357E" w:rsidRDefault="004476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33" w:history="1">
        <w:r w:rsidR="008D357E" w:rsidRPr="00077216">
          <w:rPr>
            <w:rStyle w:val="Hyperlink"/>
            <w:noProof/>
          </w:rPr>
          <w:t>C.</w:t>
        </w:r>
        <w:r w:rsidR="008D357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D357E" w:rsidRPr="00077216">
          <w:rPr>
            <w:rStyle w:val="Hyperlink"/>
            <w:noProof/>
          </w:rPr>
          <w:t>The District Court Did Not Abuse Its Discretion when It Dismissed Plaintiff’s Claim for a Replacement Treasury Check in Order to Allow the Secretary, in the First Instance, to Make the Statutorily Required Determinations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_Toc532819833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5</w:t>
        </w:r>
        <w:r w:rsidR="008D357E">
          <w:rPr>
            <w:noProof/>
            <w:webHidden/>
          </w:rPr>
          <w:fldChar w:fldCharType="end"/>
        </w:r>
      </w:hyperlink>
    </w:p>
    <w:p w14:paraId="3318D416" w14:textId="6264CE1B" w:rsidR="008D357E" w:rsidRDefault="00447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19834" w:history="1">
        <w:r w:rsidR="008D357E" w:rsidRPr="00077216">
          <w:rPr>
            <w:rStyle w:val="Hyperlink"/>
            <w:noProof/>
          </w:rPr>
          <w:t>Conclusion</w:t>
        </w:r>
        <w:r w:rsidR="008D357E">
          <w:rPr>
            <w:noProof/>
            <w:webHidden/>
          </w:rPr>
          <w:tab/>
        </w:r>
        <w:r w:rsidR="008D357E">
          <w:rPr>
            <w:noProof/>
            <w:webHidden/>
          </w:rPr>
          <w:fldChar w:fldCharType="begin"/>
        </w:r>
        <w:r w:rsidR="008D357E">
          <w:rPr>
            <w:noProof/>
            <w:webHidden/>
          </w:rPr>
          <w:instrText xml:space="preserve"> PAGEREF _Toc532819834 \h </w:instrText>
        </w:r>
        <w:r w:rsidR="008D357E">
          <w:rPr>
            <w:noProof/>
            <w:webHidden/>
          </w:rPr>
        </w:r>
        <w:r w:rsidR="008D357E">
          <w:rPr>
            <w:noProof/>
            <w:webHidden/>
          </w:rPr>
          <w:fldChar w:fldCharType="separate"/>
        </w:r>
        <w:r w:rsidR="008D357E">
          <w:rPr>
            <w:noProof/>
            <w:webHidden/>
          </w:rPr>
          <w:t>6</w:t>
        </w:r>
        <w:r w:rsidR="008D357E">
          <w:rPr>
            <w:noProof/>
            <w:webHidden/>
          </w:rPr>
          <w:fldChar w:fldCharType="end"/>
        </w:r>
      </w:hyperlink>
    </w:p>
    <w:p w14:paraId="638B0225" w14:textId="47DD97A3" w:rsidR="001F3C96" w:rsidRDefault="008D357E" w:rsidP="00542514">
      <w:r>
        <w:fldChar w:fldCharType="end"/>
      </w:r>
    </w:p>
    <w:p w14:paraId="66DE2D11" w14:textId="77777777" w:rsidR="001F3C96" w:rsidRDefault="001F3C96" w:rsidP="001F3C96">
      <w:pPr>
        <w:pStyle w:val="BodyText"/>
      </w:pPr>
    </w:p>
    <w:p w14:paraId="6825BD63" w14:textId="77777777" w:rsidR="0038026A" w:rsidRDefault="0038026A" w:rsidP="00A363B4">
      <w:pPr>
        <w:pStyle w:val="Title"/>
        <w:sectPr w:rsidR="0038026A" w:rsidSect="009122EA">
          <w:footerReference w:type="default" r:id="rId12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3C1A5909" w14:textId="202207BC" w:rsidR="00AD5270" w:rsidRPr="00AD5270" w:rsidRDefault="00AD5270" w:rsidP="0021345E">
      <w:pPr>
        <w:pStyle w:val="Subtitle"/>
      </w:pPr>
      <w:bookmarkStart w:id="2" w:name="_Toc73191146"/>
      <w:bookmarkStart w:id="3" w:name="_Toc532819825"/>
      <w:bookmarkEnd w:id="0"/>
      <w:r w:rsidRPr="00AD5270">
        <w:lastRenderedPageBreak/>
        <w:t>Jurisdictional Statement</w:t>
      </w:r>
      <w:bookmarkStart w:id="4" w:name="_GoBack"/>
      <w:bookmarkEnd w:id="2"/>
      <w:bookmarkEnd w:id="3"/>
      <w:bookmarkEnd w:id="4"/>
      <w:commentRangeStart w:id="5"/>
      <w:commentRangeEnd w:id="5"/>
      <w:r w:rsidR="00776015">
        <w:rPr>
          <w:rStyle w:val="CommentReference"/>
          <w:rFonts w:cs="Times New Roman"/>
          <w:u w:val="none"/>
        </w:rPr>
        <w:commentReference w:id="5"/>
      </w:r>
    </w:p>
    <w:p w14:paraId="59D68B54" w14:textId="77777777" w:rsidR="00AD5270" w:rsidRPr="0021345E" w:rsidRDefault="00AD5270" w:rsidP="0021345E">
      <w:pPr>
        <w:pStyle w:val="BodyTextFirstIndent2"/>
      </w:pPr>
      <w:r w:rsidRPr="0021345E">
        <w:t>The Jurisdictional Statement of the defendant-appellant is not complete and correct.</w:t>
      </w:r>
    </w:p>
    <w:p w14:paraId="16AC0649" w14:textId="77777777" w:rsidR="00AD5270" w:rsidRPr="0021345E" w:rsidRDefault="00AD5270" w:rsidP="00DB3AD1">
      <w:pPr>
        <w:pStyle w:val="BodyTextFirstIndent2"/>
      </w:pPr>
      <w:r w:rsidRPr="0021345E">
        <w:t xml:space="preserve">The appellant alleged in his </w:t>
      </w:r>
      <w:r w:rsidR="00637DD2">
        <w:t>“</w:t>
      </w:r>
      <w:r w:rsidRPr="0021345E">
        <w:t>Notice of Tort Claim</w:t>
      </w:r>
      <w:r w:rsidR="00637DD2">
        <w:t>”</w:t>
      </w:r>
      <w:r w:rsidRPr="0021345E">
        <w:t xml:space="preserve"> that the district court had jurisdiction</w:t>
      </w:r>
      <w:r w:rsidR="0021345E">
        <w:t xml:space="preserve"> </w:t>
      </w:r>
      <w:r w:rsidRPr="0021345E">
        <w:t>over the case pursuant to 28 U.S.C. § 1346(b).</w:t>
      </w:r>
      <w:r w:rsidR="0021345E">
        <w:t xml:space="preserve"> </w:t>
      </w:r>
      <w:r w:rsidRPr="0021345E">
        <w:t xml:space="preserve"> This Court has jurisdiction over the instant</w:t>
      </w:r>
      <w:r w:rsidR="00DB3AD1">
        <w:t xml:space="preserve"> </w:t>
      </w:r>
      <w:r w:rsidRPr="0021345E">
        <w:t>appeal solel</w:t>
      </w:r>
      <w:r w:rsidR="0021345E">
        <w:t>y pursuant to 28 U.S.C. § 1291</w:t>
      </w:r>
      <w:r w:rsidR="009C4DE3">
        <w:t>.</w:t>
      </w:r>
    </w:p>
    <w:p w14:paraId="6079E028" w14:textId="77777777" w:rsidR="00AD5270" w:rsidRDefault="00AD5270" w:rsidP="00DB3AD1">
      <w:pPr>
        <w:pStyle w:val="BodyTextFirstIndent2"/>
      </w:pPr>
      <w:r>
        <w:t>The district court issued two memoranda and orders that disposed of appellant’s claims</w:t>
      </w:r>
      <w:r w:rsidR="00DB3AD1">
        <w:t xml:space="preserve"> </w:t>
      </w:r>
      <w:r>
        <w:t>against the United States: theses memoranda and orders were issued on June 5, 20</w:t>
      </w:r>
      <w:r w:rsidR="00304EF8">
        <w:t>14</w:t>
      </w:r>
      <w:r>
        <w:t xml:space="preserve"> and </w:t>
      </w:r>
      <w:commentRangeStart w:id="6"/>
      <w:r>
        <w:t xml:space="preserve">July </w:t>
      </w:r>
      <w:commentRangeEnd w:id="6"/>
      <w:r w:rsidR="00DF5D94">
        <w:rPr>
          <w:rStyle w:val="CommentReference"/>
        </w:rPr>
        <w:commentReference w:id="6"/>
      </w:r>
      <w:r>
        <w:t>19,</w:t>
      </w:r>
      <w:r w:rsidR="00DB3AD1">
        <w:t xml:space="preserve"> </w:t>
      </w:r>
      <w:r>
        <w:t>20</w:t>
      </w:r>
      <w:r w:rsidR="00304EF8">
        <w:t>14</w:t>
      </w:r>
      <w:r>
        <w:t xml:space="preserve"> respectively. As they relate to the issues being appealed, the June 5, </w:t>
      </w:r>
      <w:r w:rsidR="00304EF8">
        <w:t>2014</w:t>
      </w:r>
      <w:r w:rsidR="00DB3AD1">
        <w:t xml:space="preserve"> order granted the </w:t>
      </w:r>
      <w:r>
        <w:t>motion to dismiss appellant’s Federal Tort Claims Act (hereinafter</w:t>
      </w:r>
      <w:r w:rsidR="00DB3AD1">
        <w:t xml:space="preserve"> </w:t>
      </w:r>
      <w:r>
        <w:t xml:space="preserve">referred to a </w:t>
      </w:r>
      <w:r w:rsidR="00637DD2">
        <w:t>“</w:t>
      </w:r>
      <w:r>
        <w:t>FTCA</w:t>
      </w:r>
      <w:r w:rsidR="00637DD2">
        <w:t>”</w:t>
      </w:r>
      <w:r>
        <w:t>) claim and dismissed, without prejudice, plaintiff’s claim for the</w:t>
      </w:r>
      <w:r w:rsidR="00DB3AD1">
        <w:t xml:space="preserve"> </w:t>
      </w:r>
      <w:r>
        <w:t xml:space="preserve">replacement of a stolen federal tax refund check. In its July 19, </w:t>
      </w:r>
      <w:r w:rsidR="00304EF8">
        <w:t>2014</w:t>
      </w:r>
      <w:r>
        <w:t xml:space="preserve"> order, the district court</w:t>
      </w:r>
      <w:r w:rsidR="00DB3AD1">
        <w:t xml:space="preserve"> </w:t>
      </w:r>
      <w:r>
        <w:t>denied appellant’s request for reconsideration of these determinations. Following the July 19,</w:t>
      </w:r>
      <w:r w:rsidR="00DB3AD1">
        <w:t xml:space="preserve"> </w:t>
      </w:r>
      <w:r w:rsidR="00304EF8">
        <w:t>2014</w:t>
      </w:r>
      <w:r>
        <w:t xml:space="preserve"> order, the clerk entered final judgment on July 22, </w:t>
      </w:r>
      <w:r w:rsidR="00304EF8">
        <w:t>2014</w:t>
      </w:r>
      <w:r>
        <w:t xml:space="preserve">. </w:t>
      </w:r>
      <w:r w:rsidR="00304EF8">
        <w:t>Clarkson</w:t>
      </w:r>
      <w:r>
        <w:t xml:space="preserve">, on August 5, </w:t>
      </w:r>
      <w:r w:rsidR="00304EF8">
        <w:t>2014</w:t>
      </w:r>
      <w:r>
        <w:t>, then</w:t>
      </w:r>
      <w:r w:rsidR="00DB3AD1">
        <w:t xml:space="preserve"> </w:t>
      </w:r>
      <w:r>
        <w:t>filed his Notice of Appeal.</w:t>
      </w:r>
    </w:p>
    <w:p w14:paraId="3E993CDE" w14:textId="7FDFD490" w:rsidR="00AD5270" w:rsidRPr="00AD5270" w:rsidRDefault="00AD5270" w:rsidP="00963668">
      <w:pPr>
        <w:pStyle w:val="Subtitle"/>
      </w:pPr>
      <w:bookmarkStart w:id="7" w:name="_Toc73191148"/>
      <w:bookmarkStart w:id="8" w:name="_Toc532819826"/>
      <w:r w:rsidRPr="00AD5270">
        <w:t>Statement of the Case</w:t>
      </w:r>
      <w:bookmarkEnd w:id="7"/>
      <w:bookmarkEnd w:id="8"/>
    </w:p>
    <w:p w14:paraId="17C0DE6D" w14:textId="77777777" w:rsidR="003908DB" w:rsidRDefault="00AD5270" w:rsidP="00164BCC">
      <w:pPr>
        <w:pStyle w:val="BodyTextFirstIndent2"/>
      </w:pPr>
      <w:r>
        <w:t xml:space="preserve">On December 13, </w:t>
      </w:r>
      <w:r w:rsidR="00304EF8">
        <w:t>2013</w:t>
      </w:r>
      <w:r>
        <w:t xml:space="preserve">, Plaintiff </w:t>
      </w:r>
      <w:r w:rsidR="00304EF8">
        <w:t>Sharon</w:t>
      </w:r>
      <w:r>
        <w:t xml:space="preserve"> </w:t>
      </w:r>
      <w:r w:rsidR="00304EF8">
        <w:t>Clarkson</w:t>
      </w:r>
      <w:r>
        <w:t>,</w:t>
      </w:r>
      <w:r w:rsidR="007D3D47">
        <w:t xml:space="preserve"> proceeding </w:t>
      </w:r>
      <w:r w:rsidR="007D3D47" w:rsidRPr="007D3D47">
        <w:rPr>
          <w:u w:val="single"/>
        </w:rPr>
        <w:t>pro</w:t>
      </w:r>
      <w:r w:rsidR="007D3D47">
        <w:t xml:space="preserve"> </w:t>
      </w:r>
      <w:r w:rsidR="007D3D47" w:rsidRPr="007D3D47">
        <w:rPr>
          <w:u w:val="single"/>
        </w:rPr>
        <w:t>se</w:t>
      </w:r>
      <w:r w:rsidR="007D3D47">
        <w:t xml:space="preserve"> and </w:t>
      </w:r>
      <w:r w:rsidR="007D3D47" w:rsidRPr="007D3D47">
        <w:rPr>
          <w:u w:val="single"/>
        </w:rPr>
        <w:t>in</w:t>
      </w:r>
      <w:r w:rsidR="007D3D47">
        <w:t xml:space="preserve"> </w:t>
      </w:r>
      <w:r w:rsidR="007D3D47" w:rsidRPr="007D3D47">
        <w:rPr>
          <w:u w:val="single"/>
        </w:rPr>
        <w:t>forma</w:t>
      </w:r>
      <w:r w:rsidR="007D3D47">
        <w:t xml:space="preserve"> </w:t>
      </w:r>
      <w:r w:rsidR="007D3D47" w:rsidRPr="007D3D47">
        <w:rPr>
          <w:u w:val="single"/>
        </w:rPr>
        <w:t>pauperis</w:t>
      </w:r>
      <w:r w:rsidR="007D3D47">
        <w:t xml:space="preserve">, </w:t>
      </w:r>
      <w:r>
        <w:t xml:space="preserve">filed his complaint in the form of his pleading entitled </w:t>
      </w:r>
      <w:r w:rsidR="00637DD2">
        <w:t>“</w:t>
      </w:r>
      <w:r>
        <w:t>Notice of Tort Claim.</w:t>
      </w:r>
      <w:r w:rsidR="00637DD2">
        <w:t>”</w:t>
      </w:r>
      <w:r>
        <w:t xml:space="preserve"> Following that filing, District Court Judge Allen Sharp entered an order allowing plaintiff</w:t>
      </w:r>
      <w:r w:rsidR="0008096F">
        <w:t xml:space="preserve"> </w:t>
      </w:r>
      <w:r>
        <w:t xml:space="preserve">to proceed on the claim as outlined in his </w:t>
      </w:r>
      <w:r w:rsidR="00637DD2">
        <w:t>“</w:t>
      </w:r>
      <w:r>
        <w:t>Notice of Tort Claim,</w:t>
      </w:r>
      <w:r w:rsidR="00637DD2">
        <w:t>”</w:t>
      </w:r>
      <w:r>
        <w:t xml:space="preserve"> directing the United States</w:t>
      </w:r>
      <w:r w:rsidR="0008096F">
        <w:t xml:space="preserve"> </w:t>
      </w:r>
      <w:r>
        <w:t xml:space="preserve">Marshal Service to serve same and ordering the United States to answer the notice. </w:t>
      </w:r>
    </w:p>
    <w:p w14:paraId="5D21C3E7" w14:textId="77777777" w:rsidR="003908DB" w:rsidRDefault="00AD5270" w:rsidP="00164BCC">
      <w:pPr>
        <w:pStyle w:val="BodyTextFirstIndent2"/>
      </w:pPr>
      <w:r>
        <w:t>Following service of process, in lieu of answering, the United States, through counsel, on</w:t>
      </w:r>
      <w:r w:rsidR="0008096F">
        <w:t xml:space="preserve"> </w:t>
      </w:r>
      <w:r>
        <w:t xml:space="preserve">April 9, </w:t>
      </w:r>
      <w:r w:rsidR="00304EF8">
        <w:t>2014</w:t>
      </w:r>
      <w:r>
        <w:t>, moved to dismiss the case for lack of subject matter jurisdiction. As</w:t>
      </w:r>
      <w:r w:rsidR="0008096F">
        <w:t xml:space="preserve"> </w:t>
      </w:r>
      <w:r>
        <w:t>it related to plaintiff’s claim for a money judgment under the Federal Tort Claims Act, the United</w:t>
      </w:r>
      <w:r w:rsidR="00A43087">
        <w:t xml:space="preserve"> </w:t>
      </w:r>
      <w:r>
        <w:t>States asserted that plaintiff’s claim for damages because of his not receiving his 1998 tax return</w:t>
      </w:r>
      <w:r w:rsidR="00A43087">
        <w:t xml:space="preserve"> </w:t>
      </w:r>
      <w:r>
        <w:t xml:space="preserve">was </w:t>
      </w:r>
      <w:r>
        <w:lastRenderedPageBreak/>
        <w:t>barred by 28 U.S.C. § 2680(c). Because plaintiff was proceeding pro se, the United States,</w:t>
      </w:r>
      <w:r w:rsidR="00A43087">
        <w:t xml:space="preserve"> </w:t>
      </w:r>
      <w:r>
        <w:t xml:space="preserve">on April 10, </w:t>
      </w:r>
      <w:r w:rsidR="00304EF8">
        <w:t>2014</w:t>
      </w:r>
      <w:r>
        <w:t xml:space="preserve">, provided plaintiff with a </w:t>
      </w:r>
      <w:r w:rsidR="00637DD2">
        <w:t>“</w:t>
      </w:r>
      <w:r>
        <w:t>Notice of Effect of Motion to Dismiss.</w:t>
      </w:r>
      <w:r w:rsidR="00637DD2">
        <w:t>”</w:t>
      </w:r>
      <w:r>
        <w:t xml:space="preserve"> </w:t>
      </w:r>
    </w:p>
    <w:p w14:paraId="7365599E" w14:textId="77777777" w:rsidR="00AD5270" w:rsidRDefault="00AD5270" w:rsidP="00164BCC">
      <w:pPr>
        <w:pStyle w:val="BodyTextFirstIndent2"/>
      </w:pPr>
      <w:r>
        <w:t xml:space="preserve">On April 16, </w:t>
      </w:r>
      <w:r w:rsidR="00304EF8">
        <w:t>2014</w:t>
      </w:r>
      <w:r>
        <w:t xml:space="preserve"> and April 17, </w:t>
      </w:r>
      <w:r w:rsidR="00304EF8">
        <w:t>2014</w:t>
      </w:r>
      <w:r>
        <w:t>, plaintiff filed pleadings which in the first instance</w:t>
      </w:r>
      <w:r w:rsidR="00A43087">
        <w:t xml:space="preserve"> </w:t>
      </w:r>
      <w:r>
        <w:t>sought judgment on his claims (</w:t>
      </w:r>
      <w:r w:rsidR="00637DD2">
        <w:t>“</w:t>
      </w:r>
      <w:r>
        <w:t>Plaintiff’s Memorandum or Alternatively Motion for Summary</w:t>
      </w:r>
      <w:r w:rsidR="00A43087">
        <w:t xml:space="preserve"> </w:t>
      </w:r>
      <w:r>
        <w:t>Judgment</w:t>
      </w:r>
      <w:r w:rsidR="00637DD2">
        <w:t>”</w:t>
      </w:r>
      <w:r>
        <w:t>) and opposed the United States’ motion to dismiss (</w:t>
      </w:r>
      <w:r w:rsidR="00637DD2">
        <w:t>“</w:t>
      </w:r>
      <w:r>
        <w:t>Plaintiff’s Opposition to</w:t>
      </w:r>
      <w:r w:rsidR="00A43087">
        <w:t xml:space="preserve"> </w:t>
      </w:r>
      <w:r>
        <w:t>Defendant’s Motion to Dismiss</w:t>
      </w:r>
      <w:r w:rsidR="00637DD2">
        <w:t>”</w:t>
      </w:r>
      <w:r>
        <w:t xml:space="preserve">). Additionally, on April 24, </w:t>
      </w:r>
      <w:r w:rsidR="00304EF8">
        <w:t>2014</w:t>
      </w:r>
      <w:r>
        <w:t>,</w:t>
      </w:r>
      <w:r w:rsidR="00A43087">
        <w:t xml:space="preserve"> </w:t>
      </w:r>
      <w:r>
        <w:t xml:space="preserve">plaintiff filed his motion to amend his </w:t>
      </w:r>
      <w:r w:rsidR="00637DD2">
        <w:t>“</w:t>
      </w:r>
      <w:r>
        <w:t>Notice of Tort Claim</w:t>
      </w:r>
      <w:r w:rsidR="00637DD2">
        <w:t>”</w:t>
      </w:r>
      <w:r>
        <w:t xml:space="preserve"> to increase the amount of damages</w:t>
      </w:r>
      <w:r w:rsidR="00A43087">
        <w:t xml:space="preserve"> </w:t>
      </w:r>
      <w:r>
        <w:t>being sought and to include an exhibit that was not available at the time he commenced his suit.</w:t>
      </w:r>
      <w:r w:rsidR="00A43087">
        <w:t xml:space="preserve"> </w:t>
      </w:r>
    </w:p>
    <w:p w14:paraId="122C0766" w14:textId="77777777" w:rsidR="00A43087" w:rsidRDefault="00AD5270" w:rsidP="00164BCC">
      <w:pPr>
        <w:pStyle w:val="BodyTextFirstIndent2"/>
      </w:pPr>
      <w:r>
        <w:t>The United States filed its combined response/opposition to plaintiff’s filings on May 15,</w:t>
      </w:r>
      <w:r w:rsidR="00A43087">
        <w:t xml:space="preserve"> </w:t>
      </w:r>
      <w:r w:rsidR="00304EF8">
        <w:t>2014</w:t>
      </w:r>
      <w:r>
        <w:t>. Briefing on the United States’ motion to dismiss and/or plaintiff’s motion</w:t>
      </w:r>
      <w:r w:rsidR="00A43087">
        <w:t xml:space="preserve"> </w:t>
      </w:r>
      <w:r>
        <w:t xml:space="preserve">for summary judgment was completed on May 24, </w:t>
      </w:r>
      <w:r w:rsidR="00304EF8">
        <w:t>2014</w:t>
      </w:r>
      <w:r>
        <w:t>, when plaintiff filed his reply</w:t>
      </w:r>
      <w:r w:rsidR="00A43087">
        <w:t xml:space="preserve"> </w:t>
      </w:r>
      <w:r>
        <w:t xml:space="preserve">memorandum. </w:t>
      </w:r>
    </w:p>
    <w:p w14:paraId="3E24976A" w14:textId="77777777" w:rsidR="00AD5270" w:rsidRDefault="00AD5270" w:rsidP="005A7C7B">
      <w:pPr>
        <w:pStyle w:val="BodyTextFirstIndent2"/>
      </w:pPr>
      <w:r>
        <w:t xml:space="preserve">On June 5, </w:t>
      </w:r>
      <w:r w:rsidR="00304EF8">
        <w:t>2014</w:t>
      </w:r>
      <w:r>
        <w:t>, District Court Judge Allen Sharp issued his Memorandum and Order</w:t>
      </w:r>
      <w:r w:rsidR="00A43087">
        <w:t xml:space="preserve"> </w:t>
      </w:r>
      <w:r>
        <w:t>disposing of certain of plaintiff’s claims. In this order, the court found that</w:t>
      </w:r>
      <w:r w:rsidR="00A43087">
        <w:t xml:space="preserve"> </w:t>
      </w:r>
      <w:r w:rsidR="00637DD2">
        <w:t>“</w:t>
      </w:r>
      <w:r>
        <w:t xml:space="preserve">based upon the record at this point that </w:t>
      </w:r>
      <w:r w:rsidR="00304EF8">
        <w:t>Clarkson</w:t>
      </w:r>
      <w:r>
        <w:t>’s claim is not a claim for a refund but rather a</w:t>
      </w:r>
      <w:r w:rsidR="00A43087">
        <w:t xml:space="preserve"> </w:t>
      </w:r>
      <w:r>
        <w:t>claim for a replacement check.</w:t>
      </w:r>
      <w:r w:rsidR="00637DD2">
        <w:t>”</w:t>
      </w:r>
      <w:r>
        <w:t xml:space="preserve"> With regard to a claim for a replacement check,</w:t>
      </w:r>
      <w:r w:rsidR="00A43087">
        <w:t xml:space="preserve"> </w:t>
      </w:r>
      <w:r>
        <w:t xml:space="preserve">the court determined that </w:t>
      </w:r>
      <w:r w:rsidR="00637DD2">
        <w:t>“</w:t>
      </w:r>
      <w:r>
        <w:t>this particular claim . . . be dismissed without prejudice to allow the</w:t>
      </w:r>
      <w:r w:rsidR="00A43087">
        <w:t xml:space="preserve"> </w:t>
      </w:r>
      <w:r>
        <w:t>Financial Management Service the opportunity to determine whether a replacement check should</w:t>
      </w:r>
      <w:r w:rsidR="00A43087">
        <w:t xml:space="preserve"> </w:t>
      </w:r>
      <w:r>
        <w:t>be issued before any claim can proceed against the United States based upon the failure to issue a</w:t>
      </w:r>
      <w:r w:rsidR="00A43087">
        <w:t xml:space="preserve"> </w:t>
      </w:r>
      <w:r>
        <w:t>replacement check.</w:t>
      </w:r>
      <w:r w:rsidR="00637DD2">
        <w:t>”</w:t>
      </w:r>
      <w:r>
        <w:t xml:space="preserve"> Also, in this order, the District court dismissed plaintiff’s claims</w:t>
      </w:r>
      <w:r w:rsidR="00A43087">
        <w:t xml:space="preserve"> </w:t>
      </w:r>
      <w:r>
        <w:t xml:space="preserve">for money damages under the FTCA on its finding that any such claim </w:t>
      </w:r>
      <w:r w:rsidR="00637DD2">
        <w:t>“</w:t>
      </w:r>
      <w:r>
        <w:t>based upon the FTCA</w:t>
      </w:r>
      <w:r w:rsidR="00A43087">
        <w:t xml:space="preserve"> </w:t>
      </w:r>
      <w:r>
        <w:t>with respect to the payment of refun</w:t>
      </w:r>
      <w:r w:rsidR="004B65F2">
        <w:t>ds is barred under Section 2680</w:t>
      </w:r>
      <w:r>
        <w:t>(c).</w:t>
      </w:r>
      <w:r w:rsidR="00637DD2">
        <w:t>”</w:t>
      </w:r>
      <w:r>
        <w:t xml:space="preserve"> The Court</w:t>
      </w:r>
      <w:r w:rsidR="00A43087">
        <w:t xml:space="preserve"> </w:t>
      </w:r>
      <w:r>
        <w:t>determined that the viability of plaintiff’s claim for damages under the Taxpayer Bill of Rights</w:t>
      </w:r>
      <w:r w:rsidR="00A43087">
        <w:t xml:space="preserve"> </w:t>
      </w:r>
      <w:r>
        <w:t>Act could not be addressed under the United States’ jurisdictional motion.</w:t>
      </w:r>
      <w:r w:rsidR="00A43087">
        <w:t xml:space="preserve"> </w:t>
      </w:r>
    </w:p>
    <w:p w14:paraId="1CD1A2AA" w14:textId="77777777" w:rsidR="00AD5270" w:rsidRDefault="00AD5270" w:rsidP="00164BCC">
      <w:pPr>
        <w:pStyle w:val="BodyTextFirstIndent2"/>
      </w:pPr>
      <w:r>
        <w:lastRenderedPageBreak/>
        <w:t xml:space="preserve">On June 20, </w:t>
      </w:r>
      <w:r w:rsidR="00304EF8">
        <w:t>2014</w:t>
      </w:r>
      <w:r>
        <w:t>, the United States filed its motion to dismiss plaintiff’s claim for</w:t>
      </w:r>
      <w:r w:rsidR="00A43087">
        <w:t xml:space="preserve"> </w:t>
      </w:r>
      <w:r>
        <w:t>damages under Taxpayer Bill of Rights Act. In his response to the United States’</w:t>
      </w:r>
      <w:r w:rsidR="00A43087">
        <w:t xml:space="preserve"> </w:t>
      </w:r>
      <w:r>
        <w:t xml:space="preserve">motion, </w:t>
      </w:r>
      <w:r w:rsidR="00304EF8">
        <w:t>Clarkson</w:t>
      </w:r>
      <w:r>
        <w:t xml:space="preserve"> </w:t>
      </w:r>
      <w:r w:rsidR="00637DD2">
        <w:t>“</w:t>
      </w:r>
      <w:r>
        <w:t>concede[d] that his claims lack merit,</w:t>
      </w:r>
      <w:r w:rsidR="00637DD2">
        <w:t>”</w:t>
      </w:r>
      <w:r>
        <w:t xml:space="preserve"> and asked the Court to</w:t>
      </w:r>
      <w:r w:rsidR="00A43087">
        <w:t xml:space="preserve"> </w:t>
      </w:r>
      <w:r>
        <w:t>re-consider its rulings on his claim for a replacement check and for damages under the FTCA.</w:t>
      </w:r>
      <w:r w:rsidR="00A43087">
        <w:t xml:space="preserve"> </w:t>
      </w:r>
      <w:r>
        <w:t>Briefing on the United States’ motion to dismiss and plaintiff’s request for reconsideration was</w:t>
      </w:r>
      <w:r w:rsidR="00A43087">
        <w:t xml:space="preserve"> </w:t>
      </w:r>
      <w:r>
        <w:t xml:space="preserve">completed on July 8, </w:t>
      </w:r>
      <w:r w:rsidR="00304EF8">
        <w:t>2014</w:t>
      </w:r>
      <w:r>
        <w:t xml:space="preserve">. Although Plaintiff’s </w:t>
      </w:r>
      <w:r w:rsidR="00637DD2">
        <w:t>“</w:t>
      </w:r>
      <w:r>
        <w:t>Statement of the Facts,</w:t>
      </w:r>
      <w:r w:rsidR="00637DD2">
        <w:t>”</w:t>
      </w:r>
      <w:r>
        <w:t xml:space="preserve"> for the most part, merely expands on the</w:t>
      </w:r>
      <w:r w:rsidR="00A43087">
        <w:t xml:space="preserve"> </w:t>
      </w:r>
      <w:r>
        <w:t xml:space="preserve">foregoing </w:t>
      </w:r>
      <w:r w:rsidR="00637DD2">
        <w:t>“</w:t>
      </w:r>
      <w:r>
        <w:t>basic</w:t>
      </w:r>
      <w:r w:rsidR="00637DD2">
        <w:t>”</w:t>
      </w:r>
      <w:r>
        <w:t xml:space="preserve"> facts, there is one area in which it is factually misleading. Plaintiff implies that</w:t>
      </w:r>
      <w:r w:rsidR="00A43087">
        <w:t xml:space="preserve"> </w:t>
      </w:r>
      <w:r>
        <w:t xml:space="preserve">the IRS, in its letter included in plaintiff’s Appendix as Exhibit 11, promised </w:t>
      </w:r>
      <w:r w:rsidR="00637DD2">
        <w:t>“</w:t>
      </w:r>
      <w:r>
        <w:t>that the appellant</w:t>
      </w:r>
      <w:r w:rsidR="00A43087">
        <w:t xml:space="preserve"> </w:t>
      </w:r>
      <w:r>
        <w:t>would receive a replacement check within six (6) weeks.</w:t>
      </w:r>
      <w:r w:rsidR="00637DD2">
        <w:t>”</w:t>
      </w:r>
      <w:r>
        <w:t xml:space="preserve"> This letter, in fact, stated that ‘[y]ou</w:t>
      </w:r>
      <w:r w:rsidR="00A43087">
        <w:t xml:space="preserve"> </w:t>
      </w:r>
      <w:r>
        <w:t>will either receive a replacement check or a photocopy of the cashed refund check within 6</w:t>
      </w:r>
      <w:r w:rsidR="00A43087">
        <w:t xml:space="preserve"> </w:t>
      </w:r>
      <w:r>
        <w:t>weeks.</w:t>
      </w:r>
      <w:r w:rsidR="00637DD2">
        <w:t>”</w:t>
      </w:r>
    </w:p>
    <w:p w14:paraId="315A0F7A" w14:textId="21692C6B" w:rsidR="00AD5270" w:rsidRPr="00AD5270" w:rsidRDefault="00AD5270" w:rsidP="00DB3AD1">
      <w:pPr>
        <w:pStyle w:val="Subtitle"/>
      </w:pPr>
      <w:bookmarkStart w:id="9" w:name="_Toc73191149"/>
      <w:bookmarkStart w:id="10" w:name="_Toc532819827"/>
      <w:r w:rsidRPr="00AD5270">
        <w:t>Statement of the Facts</w:t>
      </w:r>
      <w:bookmarkEnd w:id="9"/>
      <w:bookmarkEnd w:id="10"/>
    </w:p>
    <w:p w14:paraId="67108C3E" w14:textId="77777777" w:rsidR="00AD5270" w:rsidRDefault="00AD5270" w:rsidP="00164BCC">
      <w:pPr>
        <w:pStyle w:val="BodyTextFirstIndent2"/>
      </w:pPr>
      <w:r>
        <w:t xml:space="preserve">The factual basis for </w:t>
      </w:r>
      <w:r w:rsidR="00304EF8">
        <w:t>Clarkson</w:t>
      </w:r>
      <w:r>
        <w:t>’s claims against the United States can be culled from the</w:t>
      </w:r>
      <w:r w:rsidR="00A43087">
        <w:t xml:space="preserve"> </w:t>
      </w:r>
      <w:r>
        <w:t>statements contained in the body of his Notice of Tort Claim, his Petition to Amend Notice of</w:t>
      </w:r>
      <w:r w:rsidR="00A43087">
        <w:t xml:space="preserve"> </w:t>
      </w:r>
      <w:r>
        <w:t>Tort Claim and the exhibits attached thereto. Although, as noted by the district court,</w:t>
      </w:r>
      <w:r w:rsidR="00A43087">
        <w:t xml:space="preserve"> </w:t>
      </w:r>
      <w:r w:rsidR="00637DD2">
        <w:t>“</w:t>
      </w:r>
      <w:r>
        <w:t>[p]laintiff’s characterization of his claims against the United States have varied somewhat</w:t>
      </w:r>
      <w:r w:rsidR="00A43087">
        <w:t xml:space="preserve"> </w:t>
      </w:r>
      <w:r>
        <w:t>throughout . . . [the] proceeding,</w:t>
      </w:r>
      <w:r w:rsidR="00637DD2">
        <w:t>”</w:t>
      </w:r>
      <w:r>
        <w:t xml:space="preserve"> the factual basis for those claims are simply this: (a) plaintiff</w:t>
      </w:r>
      <w:r w:rsidR="00A43087">
        <w:t xml:space="preserve"> </w:t>
      </w:r>
      <w:r>
        <w:t>was entitled to a tax refund of $1,919.18 for the 1998 tax year; (b) a tax refund check was mailed</w:t>
      </w:r>
      <w:r w:rsidR="00A43087">
        <w:t xml:space="preserve"> </w:t>
      </w:r>
      <w:r>
        <w:t xml:space="preserve">to his </w:t>
      </w:r>
      <w:r w:rsidR="00637DD2">
        <w:t>“</w:t>
      </w:r>
      <w:r>
        <w:t>home</w:t>
      </w:r>
      <w:r w:rsidR="00637DD2">
        <w:t>”</w:t>
      </w:r>
      <w:r>
        <w:t xml:space="preserve"> address; and (c) plaintiff did not receive this refund check because one of his</w:t>
      </w:r>
      <w:r w:rsidR="00A43087">
        <w:t xml:space="preserve"> </w:t>
      </w:r>
      <w:r>
        <w:t>relatives fraudulently cashed it; (d) after he found out about his relative’s crime, plaintiff</w:t>
      </w:r>
      <w:r w:rsidR="00A43087">
        <w:t xml:space="preserve"> </w:t>
      </w:r>
      <w:r>
        <w:t>contacted various Department of the Treasury components in an unsuccessful attempt to have</w:t>
      </w:r>
      <w:r w:rsidR="00A43087">
        <w:t xml:space="preserve"> </w:t>
      </w:r>
      <w:r w:rsidR="00DD0388">
        <w:t xml:space="preserve">this refund check re-issued. </w:t>
      </w:r>
    </w:p>
    <w:p w14:paraId="00E106F6" w14:textId="66258BEC" w:rsidR="00AD5270" w:rsidRPr="00AD5270" w:rsidRDefault="00AD5270" w:rsidP="00963668">
      <w:pPr>
        <w:pStyle w:val="Subtitle"/>
      </w:pPr>
      <w:bookmarkStart w:id="11" w:name="_Toc73191150"/>
      <w:bookmarkStart w:id="12" w:name="_Toc532819828"/>
      <w:r w:rsidRPr="00AD5270">
        <w:t>Summary of Argument</w:t>
      </w:r>
      <w:bookmarkEnd w:id="11"/>
      <w:bookmarkEnd w:id="12"/>
    </w:p>
    <w:p w14:paraId="53D4B613" w14:textId="77777777" w:rsidR="00AD5270" w:rsidRDefault="00AD5270" w:rsidP="00164BCC">
      <w:pPr>
        <w:pStyle w:val="BodyTextFirstIndent2"/>
      </w:pPr>
      <w:r>
        <w:t xml:space="preserve">In this appeal, plaintiff asks this Court to: (a) </w:t>
      </w:r>
      <w:r w:rsidR="00637DD2">
        <w:t>“</w:t>
      </w:r>
      <w:r>
        <w:t xml:space="preserve"> reverse and remand back to the district</w:t>
      </w:r>
      <w:r w:rsidR="00A43087">
        <w:t xml:space="preserve"> </w:t>
      </w:r>
      <w:r>
        <w:t>court; and (b) award . . . [him] damages sustained for the wrongful acts of the IRS by failing to</w:t>
      </w:r>
      <w:r w:rsidR="00A43087">
        <w:t xml:space="preserve"> </w:t>
      </w:r>
      <w:r>
        <w:t>re-issue . . . [him] a replacement check .</w:t>
      </w:r>
      <w:r w:rsidR="00637DD2">
        <w:t>”</w:t>
      </w:r>
      <w:r>
        <w:t xml:space="preserve"> He argues, in his brief, that he is entitled to this relief</w:t>
      </w:r>
      <w:r w:rsidR="00A43087">
        <w:t xml:space="preserve"> </w:t>
      </w:r>
      <w:r>
        <w:lastRenderedPageBreak/>
        <w:t>because the district court erred: (a) when it ruled that the Federal Tort Claims Act (</w:t>
      </w:r>
      <w:r w:rsidR="00637DD2">
        <w:t>“</w:t>
      </w:r>
      <w:r>
        <w:t>FTCA</w:t>
      </w:r>
      <w:r w:rsidR="00637DD2">
        <w:t>”</w:t>
      </w:r>
      <w:r>
        <w:t>) did</w:t>
      </w:r>
      <w:r w:rsidR="00A43087">
        <w:t xml:space="preserve"> </w:t>
      </w:r>
      <w:r>
        <w:t>not provide it with subject matter jurisdiction over his claim for damages against the United</w:t>
      </w:r>
      <w:r w:rsidR="00A43087">
        <w:t xml:space="preserve"> </w:t>
      </w:r>
      <w:r>
        <w:t>States because federal employees allegedly failed to re-issue him a tax refund check; and (b) by</w:t>
      </w:r>
      <w:r w:rsidR="00A43087">
        <w:t xml:space="preserve"> </w:t>
      </w:r>
      <w:r>
        <w:t>not addressing the merits of his claim 31 U.S.C. § 3343 was</w:t>
      </w:r>
      <w:r w:rsidR="00A43087">
        <w:t xml:space="preserve"> </w:t>
      </w:r>
      <w:r>
        <w:t>violated.</w:t>
      </w:r>
    </w:p>
    <w:p w14:paraId="2259E546" w14:textId="77777777" w:rsidR="00AD5270" w:rsidRDefault="00AD5270" w:rsidP="00164BCC">
      <w:pPr>
        <w:pStyle w:val="BodyTextFirstIndent2"/>
      </w:pPr>
      <w:r>
        <w:t>As shown by his brief, plaintiff’s FTCA analysis has additional fatal jurisdictional flaws.</w:t>
      </w:r>
      <w:r w:rsidR="00A43087">
        <w:t xml:space="preserve"> </w:t>
      </w:r>
      <w:r>
        <w:t>Under the FTCA, the United States is liable only upon a showing that a federal employee</w:t>
      </w:r>
      <w:r w:rsidR="00A43087">
        <w:t xml:space="preserve"> </w:t>
      </w:r>
      <w:r>
        <w:t xml:space="preserve">breached a state law tort duty. Section </w:t>
      </w:r>
      <w:r w:rsidR="009C4DE3">
        <w:t xml:space="preserve">28 U.S.C. § </w:t>
      </w:r>
      <w:r>
        <w:t>1346(b)(1) limits FTCA liability to</w:t>
      </w:r>
      <w:r w:rsidR="00A43087">
        <w:t xml:space="preserve"> </w:t>
      </w:r>
      <w:r w:rsidR="00637DD2">
        <w:t>“</w:t>
      </w:r>
      <w:r>
        <w:t>circumstances where the United States, if a private person, would be liable to the claimant in</w:t>
      </w:r>
      <w:r w:rsidR="00A43087">
        <w:t xml:space="preserve"> </w:t>
      </w:r>
      <w:r>
        <w:t>accordance with the law of the place where the act or omission occurred.</w:t>
      </w:r>
      <w:r w:rsidR="00637DD2">
        <w:t>”</w:t>
      </w:r>
      <w:r>
        <w:t xml:space="preserve"> Here, the plaintiff’s</w:t>
      </w:r>
      <w:r w:rsidR="00A43087">
        <w:t xml:space="preserve"> </w:t>
      </w:r>
      <w:r>
        <w:t>claim is not grounded upon a breach of state law, but instead is premised upon a supposed</w:t>
      </w:r>
      <w:r w:rsidR="00A43087">
        <w:t xml:space="preserve"> </w:t>
      </w:r>
      <w:r>
        <w:t>violation of a federal statute. Even if true, a bre</w:t>
      </w:r>
      <w:r w:rsidR="00CA4A38">
        <w:t>ach of this federal statute can</w:t>
      </w:r>
      <w:r>
        <w:t>not serve as a basis</w:t>
      </w:r>
      <w:r w:rsidR="00A43087">
        <w:t xml:space="preserve"> </w:t>
      </w:r>
      <w:r>
        <w:t>for FTCA liability.</w:t>
      </w:r>
    </w:p>
    <w:p w14:paraId="6DBD82B9" w14:textId="143CA6D9" w:rsidR="00AD5270" w:rsidRPr="00AD5270" w:rsidRDefault="00AD5270" w:rsidP="00DB3AD1">
      <w:pPr>
        <w:pStyle w:val="Subtitle"/>
      </w:pPr>
      <w:bookmarkStart w:id="13" w:name="_Toc73191151"/>
      <w:bookmarkStart w:id="14" w:name="_Toc532819829"/>
      <w:r w:rsidRPr="00AD5270">
        <w:t>Argument</w:t>
      </w:r>
      <w:bookmarkEnd w:id="13"/>
      <w:bookmarkEnd w:id="14"/>
    </w:p>
    <w:p w14:paraId="1A4CDA50" w14:textId="01617211" w:rsidR="00AD5270" w:rsidRPr="00AD5270" w:rsidRDefault="00AD5270" w:rsidP="009D2AF4">
      <w:pPr>
        <w:pStyle w:val="Heading1"/>
      </w:pPr>
      <w:bookmarkStart w:id="15" w:name="_Toc73240166"/>
      <w:bookmarkStart w:id="16" w:name="_Toc532819830"/>
      <w:r w:rsidRPr="00AD5270">
        <w:t>The District Court Correctly Found that it Lacked Subject Matter Jurisdiction over</w:t>
      </w:r>
      <w:r w:rsidR="003908DB">
        <w:t xml:space="preserve"> </w:t>
      </w:r>
      <w:r w:rsidRPr="00AD5270">
        <w:t>Plaintiff</w:t>
      </w:r>
      <w:r>
        <w:t>’</w:t>
      </w:r>
      <w:r w:rsidRPr="00AD5270">
        <w:t xml:space="preserve">s FTCA Claim for Damages Because that Claim was Barred by 28 U.S.C. </w:t>
      </w:r>
      <w:r>
        <w:t>§</w:t>
      </w:r>
      <w:r w:rsidR="003908DB">
        <w:t xml:space="preserve"> </w:t>
      </w:r>
      <w:r w:rsidRPr="00AD5270">
        <w:t>2680(c)</w:t>
      </w:r>
      <w:bookmarkEnd w:id="15"/>
      <w:bookmarkEnd w:id="16"/>
    </w:p>
    <w:p w14:paraId="115FE025" w14:textId="7F3458E0" w:rsidR="00AD5270" w:rsidRPr="00AD5270" w:rsidRDefault="00AD5270" w:rsidP="009D2AF4">
      <w:pPr>
        <w:pStyle w:val="Heading2"/>
      </w:pPr>
      <w:bookmarkStart w:id="17" w:name="_Toc73191152"/>
      <w:bookmarkStart w:id="18" w:name="_Toc73240167"/>
      <w:bookmarkStart w:id="19" w:name="_Toc532819831"/>
      <w:r w:rsidRPr="00AD5270">
        <w:t>Standard of Review</w:t>
      </w:r>
      <w:bookmarkEnd w:id="17"/>
      <w:bookmarkEnd w:id="18"/>
      <w:bookmarkEnd w:id="19"/>
    </w:p>
    <w:p w14:paraId="26269DF2" w14:textId="77777777" w:rsidR="00AD5270" w:rsidRDefault="00AD5270" w:rsidP="003908DB">
      <w:pPr>
        <w:pStyle w:val="BodyTextFirstIndent2"/>
      </w:pPr>
      <w:r>
        <w:t xml:space="preserve">This Court reviews </w:t>
      </w:r>
      <w:r w:rsidRPr="00D1094A">
        <w:rPr>
          <w:u w:val="single"/>
        </w:rPr>
        <w:t>de</w:t>
      </w:r>
      <w:r>
        <w:t xml:space="preserve"> </w:t>
      </w:r>
      <w:r w:rsidRPr="00D1094A">
        <w:rPr>
          <w:u w:val="single"/>
        </w:rPr>
        <w:t>novo</w:t>
      </w:r>
      <w:r>
        <w:t xml:space="preserve"> a district court’s ruling that it lacked subject matter</w:t>
      </w:r>
      <w:r w:rsidR="003908DB">
        <w:t xml:space="preserve"> </w:t>
      </w:r>
      <w:r>
        <w:t xml:space="preserve">jurisdiction. </w:t>
      </w:r>
      <w:r w:rsidRPr="0008096F">
        <w:rPr>
          <w:u w:val="single"/>
        </w:rPr>
        <w:t>Transit Express, Inc. v. Ettinger</w:t>
      </w:r>
      <w:r>
        <w:t xml:space="preserve">, 246 F.3d 1018 (7th Cir. </w:t>
      </w:r>
      <w:r w:rsidR="00304EF8">
        <w:t>2001</w:t>
      </w:r>
      <w:r>
        <w:t>).</w:t>
      </w:r>
    </w:p>
    <w:p w14:paraId="328610BA" w14:textId="40FCDFD2" w:rsidR="00AD5270" w:rsidRPr="00AD5270" w:rsidRDefault="00AD5270" w:rsidP="009D2AF4">
      <w:pPr>
        <w:pStyle w:val="Heading2"/>
      </w:pPr>
      <w:bookmarkStart w:id="20" w:name="_Toc73191153"/>
      <w:bookmarkStart w:id="21" w:name="_Toc73240168"/>
      <w:bookmarkStart w:id="22" w:name="_Toc532819832"/>
      <w:r w:rsidRPr="00AD5270">
        <w:t>The District Court Lacked Subject Matter Jurisdiction over Plaintiff</w:t>
      </w:r>
      <w:r>
        <w:t>’</w:t>
      </w:r>
      <w:r w:rsidRPr="00AD5270">
        <w:t>s FTCA</w:t>
      </w:r>
      <w:r w:rsidR="003908DB">
        <w:t xml:space="preserve"> </w:t>
      </w:r>
      <w:r w:rsidRPr="00AD5270">
        <w:t xml:space="preserve">Claim Because of 28 U.S.C. </w:t>
      </w:r>
      <w:r>
        <w:t>§</w:t>
      </w:r>
      <w:r w:rsidRPr="00AD5270">
        <w:t xml:space="preserve"> 2680(c) Which Bars Claims Arising Out of the</w:t>
      </w:r>
      <w:r w:rsidR="003908DB">
        <w:t xml:space="preserve"> </w:t>
      </w:r>
      <w:r w:rsidRPr="00AD5270">
        <w:t>Assessment or Collection of Tax</w:t>
      </w:r>
      <w:bookmarkEnd w:id="20"/>
      <w:bookmarkEnd w:id="21"/>
      <w:bookmarkEnd w:id="22"/>
    </w:p>
    <w:p w14:paraId="5C3C71CE" w14:textId="77777777" w:rsidR="00AD5270" w:rsidRDefault="00AD5270" w:rsidP="00164BCC">
      <w:pPr>
        <w:pStyle w:val="BodyTextFirstIndent2"/>
      </w:pPr>
      <w:r>
        <w:t>It is well settled that the United States, as a sovereign, is immune from suit unless it</w:t>
      </w:r>
      <w:r w:rsidR="00A43087">
        <w:t xml:space="preserve"> </w:t>
      </w:r>
      <w:r>
        <w:t xml:space="preserve">consents to be sued. </w:t>
      </w:r>
      <w:r w:rsidR="00364562">
        <w:rPr>
          <w:u w:val="single"/>
        </w:rPr>
        <w:t>USA</w:t>
      </w:r>
      <w:r w:rsidRPr="0008096F">
        <w:rPr>
          <w:u w:val="single"/>
        </w:rPr>
        <w:t xml:space="preserve"> v. Mitchell</w:t>
      </w:r>
      <w:r>
        <w:t>, 445 U.S. 535, 538 (1980)</w:t>
      </w:r>
      <w:r w:rsidR="00470015">
        <w:t xml:space="preserve">. The FTCA </w:t>
      </w:r>
      <w:r>
        <w:t>is a limited waiver of the United States’ sovereign immunity. The FTCA</w:t>
      </w:r>
      <w:r w:rsidR="00A43087">
        <w:t xml:space="preserve"> </w:t>
      </w:r>
      <w:r>
        <w:t>allows the United States to be sued for money damages for causes of action sounding in tort</w:t>
      </w:r>
      <w:r w:rsidR="00A43087">
        <w:t xml:space="preserve"> </w:t>
      </w:r>
      <w:r>
        <w:t>arising out of the conduct of federal agencies or federal employees acting within the scope of</w:t>
      </w:r>
      <w:r w:rsidR="00A43087">
        <w:t xml:space="preserve"> </w:t>
      </w:r>
      <w:r>
        <w:t xml:space="preserve">their employment, but only </w:t>
      </w:r>
      <w:r w:rsidR="00637DD2">
        <w:t>“</w:t>
      </w:r>
      <w:r>
        <w:t xml:space="preserve">if a private person would </w:t>
      </w:r>
      <w:r>
        <w:lastRenderedPageBreak/>
        <w:t>be liable to the claimant in accordance</w:t>
      </w:r>
      <w:r w:rsidR="00A43087">
        <w:t xml:space="preserve"> </w:t>
      </w:r>
      <w:r>
        <w:t>with the law of the place where the act or admission occurred.</w:t>
      </w:r>
      <w:r w:rsidR="00637DD2">
        <w:t>”</w:t>
      </w:r>
      <w:r>
        <w:t xml:space="preserve"> 28 U.S.C. § 1346(b). </w:t>
      </w:r>
      <w:commentRangeStart w:id="23"/>
      <w:commentRangeEnd w:id="23"/>
      <w:r w:rsidR="00DF5D94">
        <w:rPr>
          <w:rStyle w:val="CommentReference"/>
        </w:rPr>
        <w:commentReference w:id="23"/>
      </w:r>
    </w:p>
    <w:p w14:paraId="5AC0BB2F" w14:textId="2E448C0A" w:rsidR="00AD5270" w:rsidRPr="00AD5270" w:rsidRDefault="00AD5270" w:rsidP="009D2AF4">
      <w:pPr>
        <w:pStyle w:val="Heading2"/>
      </w:pPr>
      <w:bookmarkStart w:id="27" w:name="_Toc73191155"/>
      <w:bookmarkStart w:id="28" w:name="_Toc73240171"/>
      <w:bookmarkStart w:id="29" w:name="_Toc532819833"/>
      <w:r w:rsidRPr="00AD5270">
        <w:t>The District Court Did Not Abuse Its Discretion when It Dismissed Plaintiff</w:t>
      </w:r>
      <w:r>
        <w:t>’</w:t>
      </w:r>
      <w:r w:rsidRPr="00AD5270">
        <w:t>s</w:t>
      </w:r>
      <w:r w:rsidR="003908DB">
        <w:t xml:space="preserve"> </w:t>
      </w:r>
      <w:r w:rsidRPr="00AD5270">
        <w:t>Claim for a Replacement Treasury Check in Order to Allow the Secretary, in</w:t>
      </w:r>
      <w:r w:rsidR="00DE469B">
        <w:t xml:space="preserve"> </w:t>
      </w:r>
      <w:r w:rsidRPr="00AD5270">
        <w:t>the First Instance, to Make the Statutorily Required Determinations</w:t>
      </w:r>
      <w:bookmarkEnd w:id="27"/>
      <w:bookmarkEnd w:id="28"/>
      <w:bookmarkEnd w:id="29"/>
    </w:p>
    <w:p w14:paraId="2ED9F3AF" w14:textId="646D2A46" w:rsidR="00AD5270" w:rsidRDefault="00AD5270" w:rsidP="00164BCC">
      <w:pPr>
        <w:pStyle w:val="BodyTextFirstIndent2"/>
      </w:pPr>
      <w:r>
        <w:t>Given the district court’s determination that it lacked subject matter jurisdiction, that</w:t>
      </w:r>
      <w:r w:rsidR="00A43087">
        <w:t xml:space="preserve"> </w:t>
      </w:r>
      <w:r>
        <w:t>Court correctly did not reach the merits of plaintiff’s claim. In his brief, plaintiff seems to now argue that the district court could</w:t>
      </w:r>
      <w:r w:rsidR="00A43087">
        <w:t xml:space="preserve"> </w:t>
      </w:r>
      <w:r>
        <w:t>have awarded him damages because federal employees, in his view, violated the provisions of</w:t>
      </w:r>
      <w:r w:rsidR="00A43087">
        <w:t xml:space="preserve"> </w:t>
      </w:r>
      <w:r>
        <w:t>31 U.S.C. § 3343.</w:t>
      </w:r>
      <w:r w:rsidR="00DD0388">
        <w:t xml:space="preserve"> </w:t>
      </w:r>
      <w:r>
        <w:t xml:space="preserve"> When plaintiff’s </w:t>
      </w:r>
      <w:r w:rsidR="00637DD2">
        <w:t>“</w:t>
      </w:r>
      <w:r>
        <w:t>merits</w:t>
      </w:r>
      <w:r w:rsidR="00637DD2">
        <w:t>”</w:t>
      </w:r>
      <w:r>
        <w:t xml:space="preserve"> argument </w:t>
      </w:r>
      <w:r w:rsidR="00DD5969">
        <w:t>is</w:t>
      </w:r>
      <w:r>
        <w:t xml:space="preserve"> critically examined, one sees that</w:t>
      </w:r>
      <w:r w:rsidR="00A43087">
        <w:t xml:space="preserve"> </w:t>
      </w:r>
      <w:r>
        <w:t>they are flawed.</w:t>
      </w:r>
    </w:p>
    <w:p w14:paraId="7A6652D8" w14:textId="77777777" w:rsidR="00AD5270" w:rsidRDefault="00AD5270" w:rsidP="00BB3332">
      <w:pPr>
        <w:pStyle w:val="BodyTextIndent"/>
      </w:pPr>
      <w:r>
        <w:t>In pertinent part, section 3343(b) of Title 31 provides that:</w:t>
      </w:r>
    </w:p>
    <w:p w14:paraId="4285133E" w14:textId="77777777" w:rsidR="00AD5270" w:rsidRDefault="00AD5270" w:rsidP="009D2AF4">
      <w:pPr>
        <w:pStyle w:val="Heading3"/>
      </w:pPr>
      <w:bookmarkStart w:id="30" w:name="_Toc73191156"/>
      <w:bookmarkStart w:id="31" w:name="_Toc73240172"/>
      <w:commentRangeStart w:id="32"/>
      <w:r>
        <w:t>The</w:t>
      </w:r>
      <w:commentRangeEnd w:id="32"/>
      <w:r w:rsidR="00DD5969">
        <w:rPr>
          <w:rStyle w:val="CommentReference"/>
          <w:bCs w:val="0"/>
        </w:rPr>
        <w:commentReference w:id="32"/>
      </w:r>
      <w:r>
        <w:t xml:space="preserve"> Secretary of the Treasury shall pay from the . . . [Check Forgery Insurance</w:t>
      </w:r>
      <w:r w:rsidR="00A43087">
        <w:t xml:space="preserve"> </w:t>
      </w:r>
      <w:r>
        <w:t>Fund] to a payee or special endorsee of a check drawn on the Treasury or a</w:t>
      </w:r>
      <w:r w:rsidR="00A43087">
        <w:t xml:space="preserve"> </w:t>
      </w:r>
      <w:r>
        <w:t>depositary designated by the Secretary the amount of the check without interest if</w:t>
      </w:r>
      <w:r w:rsidR="00A43087">
        <w:t xml:space="preserve"> </w:t>
      </w:r>
      <w:r>
        <w:t>in the determination of the Secretary the payee or special endorse establishes</w:t>
      </w:r>
      <w:r w:rsidR="00A43087">
        <w:t xml:space="preserve"> </w:t>
      </w:r>
      <w:r>
        <w:t>that--</w:t>
      </w:r>
      <w:bookmarkEnd w:id="30"/>
      <w:bookmarkEnd w:id="31"/>
    </w:p>
    <w:p w14:paraId="06400539" w14:textId="77777777" w:rsidR="00AD5270" w:rsidRDefault="00304EF8" w:rsidP="009D2AF4">
      <w:pPr>
        <w:pStyle w:val="Heading3"/>
      </w:pPr>
      <w:bookmarkStart w:id="33" w:name="_Toc73191159"/>
      <w:bookmarkStart w:id="34" w:name="_Toc73240175"/>
      <w:r>
        <w:t>T</w:t>
      </w:r>
      <w:r w:rsidR="00AD5270">
        <w:t>he payee or special endorsee has not participated in any part of the proceeds</w:t>
      </w:r>
      <w:r w:rsidR="00A43087">
        <w:t xml:space="preserve"> </w:t>
      </w:r>
      <w:r w:rsidR="00AD5270">
        <w:t>of the negotiation or payment.</w:t>
      </w:r>
      <w:bookmarkEnd w:id="33"/>
      <w:bookmarkEnd w:id="34"/>
    </w:p>
    <w:p w14:paraId="61150B0F" w14:textId="77777777" w:rsidR="00AD5270" w:rsidRDefault="00AD5270" w:rsidP="00164BCC">
      <w:pPr>
        <w:pStyle w:val="BodyTextFirstIndent2"/>
      </w:pPr>
      <w:r>
        <w:t>Plaintiff argues that he met each of the forgoing three conditions and that IRS employees violated</w:t>
      </w:r>
      <w:r w:rsidR="00A43087">
        <w:t xml:space="preserve"> </w:t>
      </w:r>
      <w:r>
        <w:t>this act when they – without further ado – did not issue him a check. Plaintiff’s argument is</w:t>
      </w:r>
      <w:r w:rsidR="00A43087">
        <w:t xml:space="preserve"> </w:t>
      </w:r>
      <w:r>
        <w:t>flawed because he overlooks the express wording of the statute. Payment by the Secretary from</w:t>
      </w:r>
      <w:r w:rsidR="00A43087">
        <w:t xml:space="preserve"> </w:t>
      </w:r>
      <w:r w:rsidR="00304EF8">
        <w:t>7, a</w:t>
      </w:r>
      <w:r>
        <w:t>s shown by Exhibit 16 of Appellant’s Appendix, following the completion of the</w:t>
      </w:r>
      <w:r w:rsidR="00A43087">
        <w:t xml:space="preserve"> </w:t>
      </w:r>
      <w:r>
        <w:t>Secret Service investigation, plaintiff was notified by FMS that a replacement check was being</w:t>
      </w:r>
      <w:r w:rsidR="00A43087">
        <w:t xml:space="preserve"> </w:t>
      </w:r>
      <w:r>
        <w:t>issued to him in the amount of $1, 919.18. Appellant does not deny that he has received this</w:t>
      </w:r>
      <w:r w:rsidR="00A43087">
        <w:t xml:space="preserve"> </w:t>
      </w:r>
      <w:r>
        <w:t>replacement check. Given this fact that a replacement check has been provided to him, the</w:t>
      </w:r>
      <w:r w:rsidR="00A43087">
        <w:t xml:space="preserve"> </w:t>
      </w:r>
      <w:r>
        <w:t xml:space="preserve">instant appeal must be construed as an attempt by plaintiff to recover </w:t>
      </w:r>
      <w:r w:rsidR="00637DD2">
        <w:t>“</w:t>
      </w:r>
      <w:r>
        <w:t>additional</w:t>
      </w:r>
      <w:r w:rsidR="00637DD2">
        <w:t>”</w:t>
      </w:r>
      <w:r>
        <w:t xml:space="preserve"> damages.</w:t>
      </w:r>
      <w:r w:rsidR="00A43087">
        <w:t xml:space="preserve"> </w:t>
      </w:r>
      <w:r w:rsidR="00304EF8">
        <w:t>T</w:t>
      </w:r>
      <w:r>
        <w:t xml:space="preserve">his fund is </w:t>
      </w:r>
      <w:r w:rsidR="00CA4A38">
        <w:t>dependent</w:t>
      </w:r>
      <w:r>
        <w:t xml:space="preserve"> on </w:t>
      </w:r>
      <w:r>
        <w:lastRenderedPageBreak/>
        <w:t xml:space="preserve">the </w:t>
      </w:r>
      <w:r w:rsidRPr="00CA4A38">
        <w:t>determination</w:t>
      </w:r>
      <w:r w:rsidRPr="00AD5270">
        <w:rPr>
          <w:b/>
        </w:rPr>
        <w:t xml:space="preserve"> </w:t>
      </w:r>
      <w:r>
        <w:t>that a claimant had established certain</w:t>
      </w:r>
      <w:r w:rsidR="00A43087">
        <w:t xml:space="preserve"> </w:t>
      </w:r>
      <w:r>
        <w:t xml:space="preserve">specified facts. </w:t>
      </w:r>
      <w:r w:rsidR="00304EF8">
        <w:t>Clarkson</w:t>
      </w:r>
      <w:r>
        <w:t>’s belief that he met the section 3343(b) conditions is not a substitute for</w:t>
      </w:r>
      <w:r w:rsidR="00A43087">
        <w:t xml:space="preserve"> </w:t>
      </w:r>
      <w:r>
        <w:t>the Secretary’s determination.</w:t>
      </w:r>
    </w:p>
    <w:p w14:paraId="7F5636DB" w14:textId="77777777" w:rsidR="00AD5270" w:rsidRPr="00AD5270" w:rsidRDefault="00AD5270" w:rsidP="00963668">
      <w:pPr>
        <w:pStyle w:val="Subtitle"/>
      </w:pPr>
      <w:bookmarkStart w:id="35" w:name="_Toc73191160"/>
      <w:bookmarkStart w:id="36" w:name="_Toc532819834"/>
      <w:commentRangeStart w:id="37"/>
      <w:r w:rsidRPr="00AD5270">
        <w:t>Conclusion</w:t>
      </w:r>
      <w:bookmarkEnd w:id="35"/>
      <w:commentRangeEnd w:id="37"/>
      <w:r w:rsidR="00E92D4B">
        <w:rPr>
          <w:rStyle w:val="CommentReference"/>
          <w:rFonts w:cs="Times New Roman"/>
          <w:u w:val="none"/>
        </w:rPr>
        <w:commentReference w:id="37"/>
      </w:r>
      <w:bookmarkEnd w:id="36"/>
    </w:p>
    <w:p w14:paraId="29836BCB" w14:textId="77777777" w:rsidR="00AD5270" w:rsidRDefault="00AD5270" w:rsidP="00DE469B">
      <w:pPr>
        <w:pStyle w:val="BodyTextFirstIndent2"/>
      </w:pPr>
      <w:r>
        <w:t>Based upon the foregoing reasoning, the United States asks this Court to affirm the</w:t>
      </w:r>
      <w:r w:rsidR="00DE469B">
        <w:t xml:space="preserve"> </w:t>
      </w:r>
      <w:r>
        <w:t>district court’s dismissal of plaintiff’s claims against the United States.</w:t>
      </w:r>
    </w:p>
    <w:p w14:paraId="31CB0484" w14:textId="77777777" w:rsidR="00AD5270" w:rsidRDefault="00CA4A38" w:rsidP="00AD5270">
      <w:r>
        <w:t>Dated: __________</w:t>
      </w:r>
    </w:p>
    <w:p w14:paraId="54791784" w14:textId="77777777" w:rsidR="00AD5270" w:rsidRDefault="00AD5270" w:rsidP="00DE469B">
      <w:pPr>
        <w:pStyle w:val="Signature"/>
      </w:pPr>
      <w:r>
        <w:t>Respectfully submitted,</w:t>
      </w:r>
      <w:r w:rsidR="00DE469B">
        <w:br/>
      </w:r>
      <w:r w:rsidR="00DE469B">
        <w:br/>
      </w:r>
      <w:r>
        <w:t xml:space="preserve">JOSEPH S. </w:t>
      </w:r>
      <w:r w:rsidR="00304EF8">
        <w:t>VINSON</w:t>
      </w:r>
      <w:r w:rsidR="00CA4A38">
        <w:br/>
      </w:r>
      <w:r>
        <w:t>UNITED STATES ATTORNEY</w:t>
      </w:r>
    </w:p>
    <w:p w14:paraId="4487FB72" w14:textId="77777777" w:rsidR="00AD5270" w:rsidRDefault="00AD5270" w:rsidP="00BB3332">
      <w:pPr>
        <w:pStyle w:val="Signature"/>
        <w:tabs>
          <w:tab w:val="left" w:pos="4680"/>
          <w:tab w:val="left" w:leader="underscore" w:pos="9360"/>
        </w:tabs>
        <w:spacing w:before="480"/>
        <w:ind w:left="3600"/>
      </w:pPr>
      <w:r>
        <w:t>By:</w:t>
      </w:r>
      <w:r w:rsidR="00DE469B">
        <w:tab/>
      </w:r>
      <w:r w:rsidR="00DE469B">
        <w:tab/>
      </w:r>
    </w:p>
    <w:p w14:paraId="2FC60BBF" w14:textId="77777777" w:rsidR="00AD5270" w:rsidRDefault="00304EF8" w:rsidP="00CA4A38">
      <w:pPr>
        <w:pStyle w:val="Signature"/>
        <w:spacing w:before="0"/>
      </w:pPr>
      <w:r>
        <w:t>Clayton</w:t>
      </w:r>
      <w:r w:rsidR="00AD5270">
        <w:t xml:space="preserve"> D. </w:t>
      </w:r>
      <w:r>
        <w:t>Jones</w:t>
      </w:r>
      <w:r w:rsidR="00DE469B">
        <w:br/>
      </w:r>
      <w:r w:rsidR="00AD5270">
        <w:t>Assistant United States Attorney</w:t>
      </w:r>
    </w:p>
    <w:sectPr w:rsidR="00AD5270" w:rsidSect="009122EA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Cap" w:date="2018-12-17T13:53:00Z" w:initials="D">
    <w:p w14:paraId="221E632F" w14:textId="12CB53CE" w:rsidR="00DF5D94" w:rsidRDefault="00DF5D94">
      <w:pPr>
        <w:pStyle w:val="CommentText"/>
      </w:pPr>
      <w:r>
        <w:rPr>
          <w:rStyle w:val="CommentReference"/>
        </w:rPr>
        <w:annotationRef/>
      </w:r>
      <w:r w:rsidR="002A4A04">
        <w:rPr>
          <w:noProof/>
        </w:rPr>
        <w:t>Remember to regenerrate Table of Contents when revisions are complete.</w:t>
      </w:r>
    </w:p>
  </w:comment>
  <w:comment w:id="5" w:author="DCap" w:date="2019-01-24T13:00:00Z" w:initials="D">
    <w:p w14:paraId="59372C0C" w14:textId="11D8E84D" w:rsidR="00776015" w:rsidRDefault="00776015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noProof/>
        </w:rPr>
        <w:t>Remove the page number from the first page.</w:t>
      </w:r>
    </w:p>
  </w:comment>
  <w:comment w:id="6" w:author="DCap" w:date="2018-12-17T13:54:00Z" w:initials="D">
    <w:p w14:paraId="421C46EE" w14:textId="0A60F267" w:rsidR="00DF5D94" w:rsidRDefault="00DF5D94">
      <w:pPr>
        <w:pStyle w:val="CommentText"/>
      </w:pPr>
      <w:r>
        <w:rPr>
          <w:rStyle w:val="CommentReference"/>
        </w:rPr>
        <w:annotationRef/>
      </w:r>
      <w:r w:rsidR="002A4A04">
        <w:rPr>
          <w:noProof/>
        </w:rPr>
        <w:t>Keep date from breaking across to new page.</w:t>
      </w:r>
    </w:p>
  </w:comment>
  <w:comment w:id="23" w:author="DCap" w:date="2018-12-17T14:01:00Z" w:initials="D">
    <w:p w14:paraId="694C59BD" w14:textId="77777777" w:rsidR="00780344" w:rsidRDefault="00DF5D94" w:rsidP="0092634D">
      <w:pPr>
        <w:pStyle w:val="CommentText"/>
        <w:ind w:left="180"/>
        <w:rPr>
          <w:noProof/>
        </w:rPr>
      </w:pPr>
      <w:r>
        <w:rPr>
          <w:rStyle w:val="CommentReference"/>
        </w:rPr>
        <w:annotationRef/>
      </w:r>
      <w:r w:rsidR="002A4A04">
        <w:rPr>
          <w:noProof/>
        </w:rPr>
        <w:t>Insert new argument below as follows:</w:t>
      </w:r>
      <w:bookmarkStart w:id="24" w:name="_Toc73240169"/>
    </w:p>
    <w:p w14:paraId="38B54BBD" w14:textId="77777777" w:rsidR="00780344" w:rsidRDefault="00780344" w:rsidP="0092634D">
      <w:pPr>
        <w:pStyle w:val="CommentText"/>
        <w:ind w:left="180"/>
        <w:rPr>
          <w:noProof/>
        </w:rPr>
      </w:pPr>
    </w:p>
    <w:p w14:paraId="01F6870C" w14:textId="77777777" w:rsidR="00780344" w:rsidRDefault="002A4A04" w:rsidP="0092634D">
      <w:pPr>
        <w:pStyle w:val="CommentText"/>
        <w:ind w:left="360"/>
        <w:rPr>
          <w:noProof/>
        </w:rPr>
      </w:pPr>
      <w:r>
        <w:rPr>
          <w:noProof/>
        </w:rPr>
        <w:t>II.</w:t>
      </w:r>
      <w:r>
        <w:rPr>
          <w:noProof/>
        </w:rPr>
        <w:tab/>
      </w:r>
      <w:r w:rsidR="00DF5D94" w:rsidRPr="00AD5270">
        <w:t xml:space="preserve">Apart from the FTCA, Plaintiff Has Not Shown an </w:t>
      </w:r>
      <w:r w:rsidR="00DF5D94">
        <w:t>“</w:t>
      </w:r>
      <w:r w:rsidR="00DF5D94" w:rsidRPr="00AD5270">
        <w:t>Independent</w:t>
      </w:r>
      <w:r w:rsidR="00DF5D94">
        <w:t>”</w:t>
      </w:r>
      <w:r w:rsidR="00DF5D94" w:rsidRPr="00AD5270">
        <w:t xml:space="preserve"> Right to Recover</w:t>
      </w:r>
      <w:r w:rsidR="00DF5D94">
        <w:t xml:space="preserve"> </w:t>
      </w:r>
      <w:r w:rsidR="00DF5D94" w:rsidRPr="00AD5270">
        <w:t xml:space="preserve">Damages from the United States Due to the Supposed Violation of 31 U.S.C. </w:t>
      </w:r>
      <w:r w:rsidR="00DF5D94">
        <w:t>§</w:t>
      </w:r>
      <w:r w:rsidR="00DF5D94" w:rsidRPr="00AD5270">
        <w:t xml:space="preserve"> 3343</w:t>
      </w:r>
      <w:bookmarkStart w:id="25" w:name="_Toc73191154"/>
      <w:bookmarkStart w:id="26" w:name="_Toc73240170"/>
      <w:bookmarkEnd w:id="24"/>
    </w:p>
    <w:p w14:paraId="3F2AF576" w14:textId="543C1BA2" w:rsidR="00780344" w:rsidRDefault="002A4A04" w:rsidP="0092634D">
      <w:pPr>
        <w:pStyle w:val="CommentText"/>
        <w:ind w:left="540"/>
        <w:rPr>
          <w:noProof/>
        </w:rPr>
      </w:pPr>
      <w:r>
        <w:rPr>
          <w:noProof/>
        </w:rPr>
        <w:tab/>
        <w:t>A.</w:t>
      </w:r>
      <w:r>
        <w:rPr>
          <w:noProof/>
        </w:rPr>
        <w:tab/>
      </w:r>
      <w:r w:rsidR="00DF5D94" w:rsidRPr="00AD5270">
        <w:t>Standard of Review</w:t>
      </w:r>
      <w:bookmarkEnd w:id="25"/>
      <w:bookmarkEnd w:id="26"/>
    </w:p>
    <w:p w14:paraId="497842A1" w14:textId="1E649E2A" w:rsidR="00DF5D94" w:rsidRDefault="002A4A04" w:rsidP="0092634D">
      <w:pPr>
        <w:pStyle w:val="CommentText"/>
        <w:ind w:left="720"/>
      </w:pPr>
      <w:r>
        <w:rPr>
          <w:noProof/>
        </w:rPr>
        <w:tab/>
      </w:r>
      <w:r w:rsidR="00DF5D94">
        <w:t xml:space="preserve">This Court reviews a district court’s dismissal of a claim because administrative remedies have not been exhausted for an abuse of discretion. </w:t>
      </w:r>
      <w:r w:rsidR="00DF5D94" w:rsidRPr="006C6674">
        <w:rPr>
          <w:u w:val="single"/>
        </w:rPr>
        <w:t>Zhou v. Guardian Life Insurance Co.</w:t>
      </w:r>
      <w:r w:rsidR="00DF5D94">
        <w:t>, 295 F.3d 677 (7th Cir. 2002).</w:t>
      </w:r>
    </w:p>
  </w:comment>
  <w:comment w:id="32" w:author="DCap" w:date="2018-12-17T14:04:00Z" w:initials="D">
    <w:p w14:paraId="465F5260" w14:textId="71C60D26" w:rsidR="00DD5969" w:rsidRDefault="00DD5969">
      <w:pPr>
        <w:pStyle w:val="CommentText"/>
      </w:pPr>
      <w:r>
        <w:rPr>
          <w:rStyle w:val="CommentReference"/>
        </w:rPr>
        <w:annotationRef/>
      </w:r>
      <w:r w:rsidR="002A4A04">
        <w:rPr>
          <w:noProof/>
        </w:rPr>
        <w:t>Reformat this list (i.e. update the auto-format by example) to put hanging indent at 0.5.</w:t>
      </w:r>
    </w:p>
  </w:comment>
  <w:comment w:id="37" w:author="DCap" w:date="2018-12-17T14:06:00Z" w:initials="D">
    <w:p w14:paraId="4AD9BE4E" w14:textId="1C2CD2A0" w:rsidR="00E92D4B" w:rsidRDefault="00E92D4B">
      <w:pPr>
        <w:pStyle w:val="CommentText"/>
      </w:pPr>
      <w:r>
        <w:rPr>
          <w:rStyle w:val="CommentReference"/>
        </w:rPr>
        <w:annotationRef/>
      </w:r>
      <w:r w:rsidR="002A4A04">
        <w:rPr>
          <w:noProof/>
        </w:rPr>
        <w:t>Keep the Conclusion and signature all on the next page.</w:t>
      </w:r>
      <w:r w:rsidR="006C0DC5">
        <w:rPr>
          <w:noProof/>
        </w:rPr>
        <w:t xml:space="preserve"> You may want to put the "Para Keep With Next" tool on your Quick Access Toolbar (QAT).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1E632F" w15:done="0"/>
  <w15:commentEx w15:paraId="59372C0C" w15:done="0"/>
  <w15:commentEx w15:paraId="421C46EE" w15:done="0"/>
  <w15:commentEx w15:paraId="497842A1" w15:done="0"/>
  <w15:commentEx w15:paraId="465F5260" w15:done="0"/>
  <w15:commentEx w15:paraId="4AD9BE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1E632F" w16cid:durableId="1FC238C5"/>
  <w16cid:commentId w16cid:paraId="59372C0C" w16cid:durableId="1FF4357D"/>
  <w16cid:commentId w16cid:paraId="421C46EE" w16cid:durableId="1FC22931"/>
  <w16cid:commentId w16cid:paraId="497842A1" w16cid:durableId="1FC22AD5"/>
  <w16cid:commentId w16cid:paraId="465F5260" w16cid:durableId="1FC22B68"/>
  <w16cid:commentId w16cid:paraId="4AD9BE4E" w16cid:durableId="1FC22B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F04A" w14:textId="77777777" w:rsidR="004476ED" w:rsidRDefault="004476ED">
      <w:r>
        <w:separator/>
      </w:r>
    </w:p>
  </w:endnote>
  <w:endnote w:type="continuationSeparator" w:id="0">
    <w:p w14:paraId="37F4CB78" w14:textId="77777777" w:rsidR="004476ED" w:rsidRDefault="0044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324B" w14:textId="77777777" w:rsidR="004B65F2" w:rsidRDefault="004B65F2" w:rsidP="00BD3D64">
    <w:pPr>
      <w:pStyle w:val="FirstPage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7604A" w14:textId="34541495" w:rsidR="009122EA" w:rsidRDefault="009122EA" w:rsidP="009122EA">
    <w:pPr>
      <w:pStyle w:val="FirstPageFooter"/>
      <w:tabs>
        <w:tab w:val="center" w:pos="4590"/>
      </w:tabs>
    </w:pPr>
    <w:r w:rsidRPr="009122EA">
      <w:tab/>
    </w: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176DD0">
      <w:rPr>
        <w:noProof/>
      </w:rPr>
      <w:t>i</w:t>
    </w:r>
    <w:r>
      <w:rPr>
        <w:noProof/>
      </w:rPr>
      <w:fldChar w:fldCharType="end"/>
    </w:r>
    <w:r>
      <w:rPr>
        <w:noProof/>
      </w:rPr>
      <w:t xml:space="preserve"> -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71FEB" w14:textId="142C02BF" w:rsidR="004B65F2" w:rsidRPr="008D6CA8" w:rsidRDefault="009122EA" w:rsidP="008D6CA8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76DD0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E074A" w14:textId="77777777" w:rsidR="004476ED" w:rsidRDefault="004476ED">
      <w:r>
        <w:separator/>
      </w:r>
    </w:p>
  </w:footnote>
  <w:footnote w:type="continuationSeparator" w:id="0">
    <w:p w14:paraId="6500C5C6" w14:textId="77777777" w:rsidR="004476ED" w:rsidRDefault="004476ED">
      <w:r>
        <w:continuationSeparator/>
      </w:r>
    </w:p>
  </w:footnote>
  <w:footnote w:type="continuationNotice" w:id="1">
    <w:p w14:paraId="286E1B4D" w14:textId="77777777" w:rsidR="004476ED" w:rsidRDefault="004476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EC06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68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10F6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9A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2A0D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77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ECD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50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36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9A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7227"/>
    <w:multiLevelType w:val="multilevel"/>
    <w:tmpl w:val="3CF27B42"/>
    <w:lvl w:ilvl="0">
      <w:start w:val="1"/>
      <w:numFmt w:val="upperRoman"/>
      <w:lvlRestart w:val="0"/>
      <w:pStyle w:val="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(%3)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4."/>
      <w:lvlJc w:val="left"/>
      <w:pPr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Heading7"/>
      <w:lvlText w:val="%7.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pStyle w:val="Heading8"/>
      <w:lvlText w:val="%8.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9.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9B908C3"/>
    <w:multiLevelType w:val="multilevel"/>
    <w:tmpl w:val="2786A98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-720" w:firstLine="720"/>
      </w:pPr>
      <w:rPr>
        <w:rFonts w:hint="default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3">
      <w:start w:val="1"/>
      <w:numFmt w:val="decimal"/>
      <w:pStyle w:val="Level4"/>
      <w:lvlText w:val="%4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lowerLetter"/>
      <w:pStyle w:val="Level5"/>
      <w:lvlText w:val="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lowerRoman"/>
      <w:pStyle w:val="Level6"/>
      <w:lvlText w:val="%6)"/>
      <w:lvlJc w:val="left"/>
      <w:pPr>
        <w:tabs>
          <w:tab w:val="num" w:pos="4320"/>
        </w:tabs>
        <w:ind w:left="2880" w:firstLine="720"/>
      </w:pPr>
      <w:rPr>
        <w:rFonts w:hint="default"/>
      </w:rPr>
    </w:lvl>
    <w:lvl w:ilvl="6">
      <w:start w:val="1"/>
      <w:numFmt w:val="decimal"/>
      <w:pStyle w:val="Level7"/>
      <w:lvlText w:val="(%7)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7">
      <w:start w:val="1"/>
      <w:numFmt w:val="lowerLetter"/>
      <w:pStyle w:val="Level8"/>
      <w:lvlText w:val="(%8)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8">
      <w:start w:val="1"/>
      <w:numFmt w:val="lowerRoman"/>
      <w:pStyle w:val="Level9"/>
      <w:lvlText w:val="(%9)"/>
      <w:lvlJc w:val="left"/>
      <w:pPr>
        <w:tabs>
          <w:tab w:val="num" w:pos="6480"/>
        </w:tabs>
        <w:ind w:left="5040" w:firstLine="720"/>
      </w:pPr>
      <w:rPr>
        <w:rFonts w:hint="default"/>
      </w:rPr>
    </w:lvl>
  </w:abstractNum>
  <w:abstractNum w:abstractNumId="12" w15:restartNumberingAfterBreak="0">
    <w:nsid w:val="29C828EC"/>
    <w:multiLevelType w:val="hybridMultilevel"/>
    <w:tmpl w:val="4A2619BA"/>
    <w:lvl w:ilvl="0" w:tplc="6EEE1E1A">
      <w:numFmt w:val="bullet"/>
      <w:lvlText w:val="-"/>
      <w:lvlJc w:val="left"/>
      <w:pPr>
        <w:ind w:left="4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3" w15:restartNumberingAfterBreak="0">
    <w:nsid w:val="46D8105B"/>
    <w:multiLevelType w:val="multilevel"/>
    <w:tmpl w:val="FC66925E"/>
    <w:lvl w:ilvl="0">
      <w:start w:val="1"/>
      <w:numFmt w:val="decimal"/>
      <w:lvlRestart w:val="0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1440" w:hanging="720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%8.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ind w:left="648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Cap">
    <w15:presenceInfo w15:providerId="None" w15:userId="DC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ActiveDesign" w:val="Heading"/>
    <w:docVar w:name="SWAllDesigns" w:val="Heading|"/>
    <w:docVar w:name="SWAllLineBreaks" w:val="Heading~~0|0|0|0|0|0|0|0|0|@@"/>
    <w:docVar w:name="SWDocIDDate" w:val="0"/>
    <w:docVar w:name="SWDocIDLayout" w:val="0"/>
    <w:docVar w:name="SWDocIDLocation" w:val="0"/>
    <w:docVar w:name="SWInitialSave" w:val="-1"/>
    <w:docVar w:name="SWTOCLevelsInfo" w:val="2=1|.ºº|3|0|0|@@3=1|.ºº|3|0|0|@@1=1|.ºº|3|0|0|@@"/>
    <w:docVar w:name="SWTOCLinkToLevel" w:val="Heading 2=2|Heading 3=3|Subtitle=1|"/>
    <w:docVar w:name="SWTOCProperties" w:val="2|0|1|0|0|0|0|"/>
  </w:docVars>
  <w:rsids>
    <w:rsidRoot w:val="000B17F1"/>
    <w:rsid w:val="00007F5D"/>
    <w:rsid w:val="00017221"/>
    <w:rsid w:val="00042433"/>
    <w:rsid w:val="00044EC6"/>
    <w:rsid w:val="00046387"/>
    <w:rsid w:val="000716E9"/>
    <w:rsid w:val="0008096F"/>
    <w:rsid w:val="00086763"/>
    <w:rsid w:val="000A122B"/>
    <w:rsid w:val="000A51B0"/>
    <w:rsid w:val="000B17F1"/>
    <w:rsid w:val="000C1F01"/>
    <w:rsid w:val="000F7F28"/>
    <w:rsid w:val="00113042"/>
    <w:rsid w:val="001201CC"/>
    <w:rsid w:val="001255A9"/>
    <w:rsid w:val="00126DAB"/>
    <w:rsid w:val="00131288"/>
    <w:rsid w:val="001313C4"/>
    <w:rsid w:val="00144697"/>
    <w:rsid w:val="00164BCC"/>
    <w:rsid w:val="001761E9"/>
    <w:rsid w:val="00176DD0"/>
    <w:rsid w:val="001A3655"/>
    <w:rsid w:val="001B41D0"/>
    <w:rsid w:val="001C4BAD"/>
    <w:rsid w:val="001E49D9"/>
    <w:rsid w:val="001F3C96"/>
    <w:rsid w:val="002003EE"/>
    <w:rsid w:val="0021345E"/>
    <w:rsid w:val="002144E5"/>
    <w:rsid w:val="00226E57"/>
    <w:rsid w:val="00243A0F"/>
    <w:rsid w:val="00275111"/>
    <w:rsid w:val="002778BA"/>
    <w:rsid w:val="002A13D4"/>
    <w:rsid w:val="002A4A04"/>
    <w:rsid w:val="002C44A6"/>
    <w:rsid w:val="002C77F8"/>
    <w:rsid w:val="002D775C"/>
    <w:rsid w:val="002F0BF4"/>
    <w:rsid w:val="002F4BA9"/>
    <w:rsid w:val="00304EF8"/>
    <w:rsid w:val="0030541A"/>
    <w:rsid w:val="00351C36"/>
    <w:rsid w:val="00354057"/>
    <w:rsid w:val="003578EB"/>
    <w:rsid w:val="003609C9"/>
    <w:rsid w:val="00364562"/>
    <w:rsid w:val="0036526D"/>
    <w:rsid w:val="00367074"/>
    <w:rsid w:val="00371845"/>
    <w:rsid w:val="003750F0"/>
    <w:rsid w:val="0038026A"/>
    <w:rsid w:val="0038710E"/>
    <w:rsid w:val="003908DB"/>
    <w:rsid w:val="0039456C"/>
    <w:rsid w:val="003B7BF1"/>
    <w:rsid w:val="003C296C"/>
    <w:rsid w:val="003C3D12"/>
    <w:rsid w:val="003E0E06"/>
    <w:rsid w:val="003F430A"/>
    <w:rsid w:val="00414E2B"/>
    <w:rsid w:val="004241E9"/>
    <w:rsid w:val="004252FB"/>
    <w:rsid w:val="004476ED"/>
    <w:rsid w:val="00470015"/>
    <w:rsid w:val="00476ADC"/>
    <w:rsid w:val="00485BAA"/>
    <w:rsid w:val="004A1416"/>
    <w:rsid w:val="004A3B31"/>
    <w:rsid w:val="004A6368"/>
    <w:rsid w:val="004B5748"/>
    <w:rsid w:val="004B65F2"/>
    <w:rsid w:val="004C2450"/>
    <w:rsid w:val="004F43C3"/>
    <w:rsid w:val="005105DF"/>
    <w:rsid w:val="00520D8F"/>
    <w:rsid w:val="00535C4D"/>
    <w:rsid w:val="00542514"/>
    <w:rsid w:val="00555D8C"/>
    <w:rsid w:val="00562889"/>
    <w:rsid w:val="00577110"/>
    <w:rsid w:val="00587A43"/>
    <w:rsid w:val="00591776"/>
    <w:rsid w:val="00592C0B"/>
    <w:rsid w:val="00597F28"/>
    <w:rsid w:val="005A5EEF"/>
    <w:rsid w:val="005A7C7B"/>
    <w:rsid w:val="005D657F"/>
    <w:rsid w:val="005F3AEC"/>
    <w:rsid w:val="006351BA"/>
    <w:rsid w:val="00635A4E"/>
    <w:rsid w:val="00637DD2"/>
    <w:rsid w:val="00675DFF"/>
    <w:rsid w:val="006B0BE3"/>
    <w:rsid w:val="006B2E2C"/>
    <w:rsid w:val="006C0DC5"/>
    <w:rsid w:val="006C6674"/>
    <w:rsid w:val="007240AB"/>
    <w:rsid w:val="00745205"/>
    <w:rsid w:val="00751E4E"/>
    <w:rsid w:val="00763ABE"/>
    <w:rsid w:val="00776015"/>
    <w:rsid w:val="00780344"/>
    <w:rsid w:val="00790F3E"/>
    <w:rsid w:val="0079380C"/>
    <w:rsid w:val="007B77BF"/>
    <w:rsid w:val="007D0154"/>
    <w:rsid w:val="007D3D47"/>
    <w:rsid w:val="007D6F50"/>
    <w:rsid w:val="007E5AE7"/>
    <w:rsid w:val="00806469"/>
    <w:rsid w:val="0084463E"/>
    <w:rsid w:val="00844C9B"/>
    <w:rsid w:val="0085006C"/>
    <w:rsid w:val="0085160D"/>
    <w:rsid w:val="00851909"/>
    <w:rsid w:val="00894B44"/>
    <w:rsid w:val="008B3132"/>
    <w:rsid w:val="008B4EAB"/>
    <w:rsid w:val="008C3E94"/>
    <w:rsid w:val="008D357E"/>
    <w:rsid w:val="008D6CA8"/>
    <w:rsid w:val="008E13E8"/>
    <w:rsid w:val="009122EA"/>
    <w:rsid w:val="009225FC"/>
    <w:rsid w:val="00922F3D"/>
    <w:rsid w:val="009365C7"/>
    <w:rsid w:val="00936C6B"/>
    <w:rsid w:val="00963432"/>
    <w:rsid w:val="00963668"/>
    <w:rsid w:val="0096699B"/>
    <w:rsid w:val="009A3EF0"/>
    <w:rsid w:val="009A4F56"/>
    <w:rsid w:val="009A7F8F"/>
    <w:rsid w:val="009B4285"/>
    <w:rsid w:val="009C4DE3"/>
    <w:rsid w:val="009D2AF4"/>
    <w:rsid w:val="00A03E0A"/>
    <w:rsid w:val="00A07B29"/>
    <w:rsid w:val="00A32507"/>
    <w:rsid w:val="00A32AB3"/>
    <w:rsid w:val="00A363B4"/>
    <w:rsid w:val="00A43087"/>
    <w:rsid w:val="00A450BF"/>
    <w:rsid w:val="00A66C18"/>
    <w:rsid w:val="00A841E7"/>
    <w:rsid w:val="00A97BD4"/>
    <w:rsid w:val="00AA340C"/>
    <w:rsid w:val="00AB2EEE"/>
    <w:rsid w:val="00AC0D12"/>
    <w:rsid w:val="00AD016C"/>
    <w:rsid w:val="00AD5270"/>
    <w:rsid w:val="00AF3488"/>
    <w:rsid w:val="00B368D0"/>
    <w:rsid w:val="00B76252"/>
    <w:rsid w:val="00B967B8"/>
    <w:rsid w:val="00BA2D36"/>
    <w:rsid w:val="00BB3332"/>
    <w:rsid w:val="00BB3DCE"/>
    <w:rsid w:val="00BC7B52"/>
    <w:rsid w:val="00BD3D64"/>
    <w:rsid w:val="00BE1F0C"/>
    <w:rsid w:val="00BF6F1F"/>
    <w:rsid w:val="00C015CD"/>
    <w:rsid w:val="00C27868"/>
    <w:rsid w:val="00C27E31"/>
    <w:rsid w:val="00C27ECB"/>
    <w:rsid w:val="00C303A6"/>
    <w:rsid w:val="00C3154B"/>
    <w:rsid w:val="00C31FE3"/>
    <w:rsid w:val="00C3678C"/>
    <w:rsid w:val="00C46B94"/>
    <w:rsid w:val="00C479EB"/>
    <w:rsid w:val="00C5129B"/>
    <w:rsid w:val="00C66F0B"/>
    <w:rsid w:val="00C73DDA"/>
    <w:rsid w:val="00C86B48"/>
    <w:rsid w:val="00CA4A38"/>
    <w:rsid w:val="00CB0862"/>
    <w:rsid w:val="00CB09FA"/>
    <w:rsid w:val="00CB1463"/>
    <w:rsid w:val="00CD1A9C"/>
    <w:rsid w:val="00CF48C0"/>
    <w:rsid w:val="00D1094A"/>
    <w:rsid w:val="00D60D3F"/>
    <w:rsid w:val="00D93E69"/>
    <w:rsid w:val="00DB2658"/>
    <w:rsid w:val="00DB3AD1"/>
    <w:rsid w:val="00DB75FD"/>
    <w:rsid w:val="00DD0388"/>
    <w:rsid w:val="00DD5969"/>
    <w:rsid w:val="00DD6A38"/>
    <w:rsid w:val="00DE05DD"/>
    <w:rsid w:val="00DE469B"/>
    <w:rsid w:val="00DF5D94"/>
    <w:rsid w:val="00E16970"/>
    <w:rsid w:val="00E174C2"/>
    <w:rsid w:val="00E23F42"/>
    <w:rsid w:val="00E64D13"/>
    <w:rsid w:val="00E72656"/>
    <w:rsid w:val="00E81C4F"/>
    <w:rsid w:val="00E86679"/>
    <w:rsid w:val="00E872D2"/>
    <w:rsid w:val="00E92D4B"/>
    <w:rsid w:val="00E95AAD"/>
    <w:rsid w:val="00ED359C"/>
    <w:rsid w:val="00EE542A"/>
    <w:rsid w:val="00EF23ED"/>
    <w:rsid w:val="00F076DF"/>
    <w:rsid w:val="00F4204B"/>
    <w:rsid w:val="00F535B4"/>
    <w:rsid w:val="00F62B95"/>
    <w:rsid w:val="00F67A72"/>
    <w:rsid w:val="00F97914"/>
    <w:rsid w:val="00FA7A5A"/>
    <w:rsid w:val="00FE1948"/>
    <w:rsid w:val="00FE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7E77EA"/>
  <w15:docId w15:val="{801A39FE-E8EF-4D93-AD68-EBA7E774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5EEF"/>
    <w:rPr>
      <w:sz w:val="24"/>
      <w:szCs w:val="24"/>
    </w:rPr>
  </w:style>
  <w:style w:type="paragraph" w:styleId="Heading1">
    <w:name w:val="heading 1"/>
    <w:basedOn w:val="Normal"/>
    <w:qFormat/>
    <w:rsid w:val="009D2AF4"/>
    <w:pPr>
      <w:keepNext/>
      <w:keepLines/>
      <w:widowControl w:val="0"/>
      <w:numPr>
        <w:numId w:val="13"/>
      </w:numPr>
      <w:spacing w:after="240"/>
      <w:outlineLvl w:val="0"/>
    </w:pPr>
    <w:rPr>
      <w:b/>
      <w:bCs/>
      <w:szCs w:val="32"/>
    </w:rPr>
  </w:style>
  <w:style w:type="paragraph" w:styleId="Heading2">
    <w:name w:val="heading 2"/>
    <w:basedOn w:val="Normal"/>
    <w:qFormat/>
    <w:rsid w:val="009D2AF4"/>
    <w:pPr>
      <w:keepNext/>
      <w:keepLines/>
      <w:widowControl w:val="0"/>
      <w:numPr>
        <w:ilvl w:val="1"/>
        <w:numId w:val="13"/>
      </w:numPr>
      <w:spacing w:after="24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qFormat/>
    <w:rsid w:val="009D2AF4"/>
    <w:pPr>
      <w:numPr>
        <w:ilvl w:val="2"/>
        <w:numId w:val="13"/>
      </w:numPr>
      <w:spacing w:after="240"/>
      <w:outlineLvl w:val="2"/>
    </w:pPr>
    <w:rPr>
      <w:bCs/>
      <w:szCs w:val="26"/>
    </w:rPr>
  </w:style>
  <w:style w:type="paragraph" w:styleId="Heading4">
    <w:name w:val="heading 4"/>
    <w:basedOn w:val="Normal"/>
    <w:qFormat/>
    <w:rsid w:val="009D2AF4"/>
    <w:pPr>
      <w:numPr>
        <w:ilvl w:val="3"/>
        <w:numId w:val="13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9D2AF4"/>
    <w:pPr>
      <w:numPr>
        <w:ilvl w:val="4"/>
        <w:numId w:val="13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9D2AF4"/>
    <w:pPr>
      <w:numPr>
        <w:ilvl w:val="5"/>
        <w:numId w:val="13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9D2AF4"/>
    <w:pPr>
      <w:numPr>
        <w:ilvl w:val="6"/>
        <w:numId w:val="13"/>
      </w:numPr>
      <w:spacing w:after="240"/>
      <w:outlineLvl w:val="6"/>
    </w:pPr>
  </w:style>
  <w:style w:type="paragraph" w:styleId="Heading8">
    <w:name w:val="heading 8"/>
    <w:basedOn w:val="Normal"/>
    <w:qFormat/>
    <w:rsid w:val="009D2AF4"/>
    <w:pPr>
      <w:numPr>
        <w:ilvl w:val="7"/>
        <w:numId w:val="13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rsid w:val="009D2AF4"/>
    <w:pPr>
      <w:numPr>
        <w:ilvl w:val="8"/>
        <w:numId w:val="13"/>
      </w:numPr>
      <w:spacing w:after="24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">
    <w:name w:val="Graphic"/>
    <w:basedOn w:val="Normal"/>
    <w:rsid w:val="00751E4E"/>
    <w:pPr>
      <w:spacing w:before="240" w:after="240"/>
    </w:pPr>
    <w:rPr>
      <w:szCs w:val="20"/>
    </w:rPr>
  </w:style>
  <w:style w:type="paragraph" w:customStyle="1" w:styleId="Graphic2">
    <w:name w:val="Graphic 2"/>
    <w:basedOn w:val="Graphic"/>
    <w:rsid w:val="00751E4E"/>
    <w:pPr>
      <w:ind w:left="2160"/>
    </w:pPr>
    <w:rPr>
      <w:noProof/>
    </w:rPr>
  </w:style>
  <w:style w:type="paragraph" w:customStyle="1" w:styleId="ExerciseTitle">
    <w:name w:val="Exercise Title"/>
    <w:basedOn w:val="Normal"/>
    <w:rsid w:val="00637DD2"/>
    <w:pPr>
      <w:spacing w:after="720"/>
      <w:jc w:val="center"/>
      <w:outlineLvl w:val="0"/>
    </w:pPr>
    <w:rPr>
      <w:rFonts w:ascii="Verdana" w:hAnsi="Verdana"/>
      <w:sz w:val="48"/>
      <w:szCs w:val="48"/>
    </w:rPr>
  </w:style>
  <w:style w:type="paragraph" w:styleId="BalloonText">
    <w:name w:val="Balloon Text"/>
    <w:basedOn w:val="Normal"/>
    <w:semiHidden/>
    <w:rsid w:val="001761E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5A5EEF"/>
    <w:pPr>
      <w:spacing w:after="240"/>
      <w:ind w:left="1440" w:right="1440"/>
      <w:jc w:val="both"/>
    </w:pPr>
  </w:style>
  <w:style w:type="paragraph" w:styleId="BodyText">
    <w:name w:val="Body Text"/>
    <w:basedOn w:val="Normal"/>
    <w:rsid w:val="005A5EEF"/>
    <w:pPr>
      <w:spacing w:after="240"/>
      <w:jc w:val="both"/>
    </w:pPr>
  </w:style>
  <w:style w:type="paragraph" w:styleId="BodyText2">
    <w:name w:val="Body Text 2"/>
    <w:basedOn w:val="BodyText"/>
    <w:rsid w:val="005A5EEF"/>
    <w:pPr>
      <w:spacing w:line="480" w:lineRule="auto"/>
    </w:pPr>
  </w:style>
  <w:style w:type="paragraph" w:styleId="BodyText3">
    <w:name w:val="Body Text 3"/>
    <w:basedOn w:val="BodyText"/>
    <w:rsid w:val="005A5EEF"/>
    <w:rPr>
      <w:sz w:val="16"/>
      <w:szCs w:val="16"/>
    </w:rPr>
  </w:style>
  <w:style w:type="paragraph" w:styleId="BodyTextFirstIndent">
    <w:name w:val="Body Text First Indent"/>
    <w:basedOn w:val="BodyText"/>
    <w:rsid w:val="005A5EEF"/>
    <w:pPr>
      <w:ind w:firstLine="720"/>
    </w:pPr>
  </w:style>
  <w:style w:type="paragraph" w:styleId="BodyTextIndent">
    <w:name w:val="Body Text Indent"/>
    <w:basedOn w:val="BodyText"/>
    <w:rsid w:val="005A5EEF"/>
    <w:pPr>
      <w:ind w:left="720"/>
    </w:pPr>
  </w:style>
  <w:style w:type="paragraph" w:styleId="BodyTextFirstIndent2">
    <w:name w:val="Body Text First Indent 2"/>
    <w:basedOn w:val="BodyText2"/>
    <w:rsid w:val="005A7C7B"/>
    <w:pPr>
      <w:spacing w:after="0"/>
      <w:ind w:firstLine="720"/>
    </w:pPr>
  </w:style>
  <w:style w:type="paragraph" w:styleId="BodyTextIndent2">
    <w:name w:val="Body Text Indent 2"/>
    <w:basedOn w:val="BodyText2"/>
    <w:rsid w:val="005A5EEF"/>
    <w:pPr>
      <w:ind w:left="720"/>
    </w:pPr>
  </w:style>
  <w:style w:type="paragraph" w:styleId="BodyTextIndent3">
    <w:name w:val="Body Text Indent 3"/>
    <w:basedOn w:val="Heading4"/>
    <w:rsid w:val="0096699B"/>
    <w:pPr>
      <w:numPr>
        <w:ilvl w:val="0"/>
        <w:numId w:val="0"/>
      </w:numPr>
      <w:ind w:left="2160"/>
    </w:pPr>
  </w:style>
  <w:style w:type="paragraph" w:styleId="Caption">
    <w:name w:val="caption"/>
    <w:basedOn w:val="Normal"/>
    <w:next w:val="Normal"/>
    <w:qFormat/>
    <w:rsid w:val="001761E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5A5EEF"/>
    <w:pPr>
      <w:tabs>
        <w:tab w:val="right" w:leader="underscore" w:pos="9360"/>
      </w:tabs>
      <w:ind w:left="4680"/>
    </w:pPr>
  </w:style>
  <w:style w:type="paragraph" w:styleId="CommentText">
    <w:name w:val="annotation text"/>
    <w:basedOn w:val="Normal"/>
    <w:link w:val="CommentTextChar"/>
    <w:semiHidden/>
    <w:rsid w:val="001761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61E9"/>
    <w:rPr>
      <w:b/>
      <w:bCs/>
    </w:rPr>
  </w:style>
  <w:style w:type="paragraph" w:styleId="Date">
    <w:name w:val="Date"/>
    <w:basedOn w:val="Normal"/>
    <w:next w:val="Normal"/>
    <w:rsid w:val="001761E9"/>
  </w:style>
  <w:style w:type="paragraph" w:styleId="DocumentMap">
    <w:name w:val="Document Map"/>
    <w:basedOn w:val="Normal"/>
    <w:semiHidden/>
    <w:rsid w:val="001761E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61E9"/>
  </w:style>
  <w:style w:type="paragraph" w:styleId="EndnoteText">
    <w:name w:val="endnote text"/>
    <w:basedOn w:val="Normal"/>
    <w:semiHidden/>
    <w:rsid w:val="001761E9"/>
    <w:rPr>
      <w:sz w:val="20"/>
      <w:szCs w:val="20"/>
    </w:rPr>
  </w:style>
  <w:style w:type="paragraph" w:styleId="EnvelopeAddress">
    <w:name w:val="envelope address"/>
    <w:basedOn w:val="Normal"/>
    <w:rsid w:val="008E13E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paragraph" w:styleId="EnvelopeReturn">
    <w:name w:val="envelope return"/>
    <w:basedOn w:val="Normal"/>
    <w:rsid w:val="008E13E8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5A5EEF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rsid w:val="00042433"/>
    <w:pPr>
      <w:spacing w:after="200"/>
    </w:pPr>
    <w:rPr>
      <w:sz w:val="20"/>
      <w:szCs w:val="20"/>
    </w:rPr>
  </w:style>
  <w:style w:type="paragraph" w:styleId="Header">
    <w:name w:val="header"/>
    <w:basedOn w:val="Normal"/>
    <w:rsid w:val="005A5EEF"/>
    <w:pPr>
      <w:tabs>
        <w:tab w:val="center" w:pos="4680"/>
        <w:tab w:val="right" w:pos="9360"/>
      </w:tabs>
    </w:pPr>
  </w:style>
  <w:style w:type="paragraph" w:styleId="HTMLAddress">
    <w:name w:val="HTML Address"/>
    <w:basedOn w:val="Normal"/>
    <w:rsid w:val="001761E9"/>
    <w:rPr>
      <w:i/>
      <w:iCs/>
    </w:rPr>
  </w:style>
  <w:style w:type="paragraph" w:styleId="HTMLPreformatted">
    <w:name w:val="HTML Preformatted"/>
    <w:basedOn w:val="Normal"/>
    <w:rsid w:val="001761E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61E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61E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61E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61E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61E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61E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61E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61E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61E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61E9"/>
    <w:rPr>
      <w:rFonts w:ascii="Arial" w:hAnsi="Arial" w:cs="Arial"/>
      <w:b/>
      <w:bCs/>
    </w:rPr>
  </w:style>
  <w:style w:type="paragraph" w:styleId="List">
    <w:name w:val="List"/>
    <w:basedOn w:val="Normal"/>
    <w:rsid w:val="001761E9"/>
    <w:pPr>
      <w:ind w:left="360" w:hanging="360"/>
    </w:pPr>
  </w:style>
  <w:style w:type="paragraph" w:styleId="MacroText">
    <w:name w:val="macro"/>
    <w:semiHidden/>
    <w:rsid w:val="00176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76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1761E9"/>
  </w:style>
  <w:style w:type="paragraph" w:styleId="NormalIndent">
    <w:name w:val="Normal Indent"/>
    <w:basedOn w:val="Normal"/>
    <w:rsid w:val="001761E9"/>
    <w:pPr>
      <w:ind w:left="720"/>
    </w:pPr>
  </w:style>
  <w:style w:type="paragraph" w:styleId="NoteHeading">
    <w:name w:val="Note Heading"/>
    <w:basedOn w:val="Normal"/>
    <w:next w:val="Normal"/>
    <w:rsid w:val="001761E9"/>
  </w:style>
  <w:style w:type="paragraph" w:styleId="PlainText">
    <w:name w:val="Plain Text"/>
    <w:basedOn w:val="Normal"/>
    <w:rsid w:val="001761E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61E9"/>
  </w:style>
  <w:style w:type="paragraph" w:styleId="Signature">
    <w:name w:val="Signature"/>
    <w:basedOn w:val="Normal"/>
    <w:link w:val="SignatureChar"/>
    <w:rsid w:val="00637DD2"/>
    <w:pPr>
      <w:tabs>
        <w:tab w:val="right" w:leader="underscore" w:pos="9360"/>
      </w:tabs>
      <w:spacing w:before="240"/>
      <w:ind w:left="4680"/>
    </w:pPr>
  </w:style>
  <w:style w:type="paragraph" w:styleId="Subtitle">
    <w:name w:val="Subtitle"/>
    <w:basedOn w:val="Normal"/>
    <w:next w:val="BodyText"/>
    <w:qFormat/>
    <w:rsid w:val="005A5EEF"/>
    <w:pPr>
      <w:spacing w:after="240"/>
      <w:jc w:val="center"/>
      <w:outlineLvl w:val="1"/>
    </w:pPr>
    <w:rPr>
      <w:rFonts w:cs="Arial"/>
      <w:u w:val="single"/>
    </w:rPr>
  </w:style>
  <w:style w:type="paragraph" w:styleId="TableofAuthorities">
    <w:name w:val="table of authorities"/>
    <w:basedOn w:val="Normal"/>
    <w:next w:val="Normal"/>
    <w:semiHidden/>
    <w:rsid w:val="001B41D0"/>
    <w:pPr>
      <w:tabs>
        <w:tab w:val="right" w:leader="dot" w:pos="9360"/>
      </w:tabs>
      <w:spacing w:after="240"/>
      <w:ind w:left="245" w:right="1440" w:hanging="245"/>
    </w:pPr>
    <w:rPr>
      <w:noProof/>
    </w:rPr>
  </w:style>
  <w:style w:type="paragraph" w:styleId="TableofFigures">
    <w:name w:val="table of figures"/>
    <w:basedOn w:val="Normal"/>
    <w:next w:val="Normal"/>
    <w:semiHidden/>
    <w:rsid w:val="001761E9"/>
    <w:pPr>
      <w:ind w:left="480" w:hanging="480"/>
    </w:pPr>
  </w:style>
  <w:style w:type="paragraph" w:styleId="Title">
    <w:name w:val="Title"/>
    <w:basedOn w:val="Normal"/>
    <w:next w:val="BodyText"/>
    <w:qFormat/>
    <w:rsid w:val="005A5EEF"/>
    <w:pPr>
      <w:spacing w:after="240"/>
      <w:jc w:val="center"/>
      <w:outlineLvl w:val="0"/>
    </w:pPr>
    <w:rPr>
      <w:rFonts w:cs="Arial"/>
      <w:b/>
      <w:bCs/>
      <w:caps/>
      <w:szCs w:val="32"/>
    </w:rPr>
  </w:style>
  <w:style w:type="paragraph" w:styleId="TOAHeading">
    <w:name w:val="toa heading"/>
    <w:basedOn w:val="Normal"/>
    <w:next w:val="Normal"/>
    <w:semiHidden/>
    <w:rsid w:val="005A5EEF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F97914"/>
    <w:pPr>
      <w:tabs>
        <w:tab w:val="right" w:leader="dot" w:pos="9360"/>
      </w:tabs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126DAB"/>
    <w:pPr>
      <w:tabs>
        <w:tab w:val="left" w:pos="1440"/>
        <w:tab w:val="right" w:leader="dot" w:pos="9360"/>
      </w:tabs>
      <w:spacing w:after="240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rsid w:val="00126DAB"/>
    <w:pPr>
      <w:tabs>
        <w:tab w:val="left" w:pos="2160"/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1761E9"/>
    <w:pPr>
      <w:tabs>
        <w:tab w:val="right" w:leader="dot" w:pos="9360"/>
      </w:tabs>
      <w:ind w:left="720"/>
    </w:pPr>
  </w:style>
  <w:style w:type="paragraph" w:styleId="TOC5">
    <w:name w:val="toc 5"/>
    <w:basedOn w:val="Normal"/>
    <w:next w:val="Normal"/>
    <w:autoRedefine/>
    <w:semiHidden/>
    <w:rsid w:val="001761E9"/>
    <w:pPr>
      <w:tabs>
        <w:tab w:val="right" w:leader="dot" w:pos="9360"/>
      </w:tabs>
      <w:ind w:left="960"/>
    </w:pPr>
  </w:style>
  <w:style w:type="paragraph" w:styleId="TOC6">
    <w:name w:val="toc 6"/>
    <w:basedOn w:val="Normal"/>
    <w:next w:val="Normal"/>
    <w:autoRedefine/>
    <w:semiHidden/>
    <w:rsid w:val="001761E9"/>
    <w:pPr>
      <w:tabs>
        <w:tab w:val="right" w:leader="dot" w:pos="9360"/>
      </w:tabs>
      <w:ind w:left="1200"/>
    </w:pPr>
  </w:style>
  <w:style w:type="paragraph" w:styleId="TOC7">
    <w:name w:val="toc 7"/>
    <w:basedOn w:val="Normal"/>
    <w:next w:val="Normal"/>
    <w:autoRedefine/>
    <w:semiHidden/>
    <w:rsid w:val="001761E9"/>
    <w:pPr>
      <w:tabs>
        <w:tab w:val="right" w:leader="dot" w:pos="9360"/>
      </w:tabs>
      <w:ind w:left="1440"/>
    </w:pPr>
  </w:style>
  <w:style w:type="paragraph" w:styleId="TOC8">
    <w:name w:val="toc 8"/>
    <w:basedOn w:val="Normal"/>
    <w:next w:val="Normal"/>
    <w:autoRedefine/>
    <w:semiHidden/>
    <w:rsid w:val="001761E9"/>
    <w:pPr>
      <w:tabs>
        <w:tab w:val="right" w:leader="dot" w:pos="9360"/>
      </w:tabs>
      <w:ind w:left="1680"/>
    </w:pPr>
  </w:style>
  <w:style w:type="paragraph" w:styleId="TOC9">
    <w:name w:val="toc 9"/>
    <w:basedOn w:val="Normal"/>
    <w:next w:val="Normal"/>
    <w:autoRedefine/>
    <w:semiHidden/>
    <w:rsid w:val="001761E9"/>
    <w:pPr>
      <w:tabs>
        <w:tab w:val="right" w:leader="dot" w:pos="9360"/>
      </w:tabs>
      <w:ind w:left="1920"/>
    </w:pPr>
  </w:style>
  <w:style w:type="table" w:styleId="TableGrid">
    <w:name w:val="Table Grid"/>
    <w:basedOn w:val="TableNormal"/>
    <w:rsid w:val="005A5EEF"/>
    <w:tblPr>
      <w:tblCellMar>
        <w:left w:w="115" w:type="dxa"/>
        <w:bottom w:w="144" w:type="dxa"/>
        <w:right w:w="115" w:type="dxa"/>
      </w:tblCellMar>
    </w:tblPr>
  </w:style>
  <w:style w:type="character" w:styleId="FootnoteReference">
    <w:name w:val="footnote reference"/>
    <w:basedOn w:val="DefaultParagraphFont"/>
    <w:semiHidden/>
    <w:rsid w:val="0021345E"/>
    <w:rPr>
      <w:vertAlign w:val="superscript"/>
    </w:rPr>
  </w:style>
  <w:style w:type="paragraph" w:customStyle="1" w:styleId="Signature2">
    <w:name w:val="Signature2"/>
    <w:basedOn w:val="Normal"/>
    <w:rsid w:val="005A5EEF"/>
    <w:pPr>
      <w:tabs>
        <w:tab w:val="left" w:leader="underscore" w:pos="9360"/>
      </w:tabs>
      <w:ind w:left="4320"/>
    </w:pPr>
  </w:style>
  <w:style w:type="paragraph" w:customStyle="1" w:styleId="SubtitleBold">
    <w:name w:val="Subtitle Bold"/>
    <w:basedOn w:val="Subtitle"/>
    <w:next w:val="BodyText"/>
    <w:rsid w:val="005A5EEF"/>
    <w:rPr>
      <w:b/>
    </w:rPr>
  </w:style>
  <w:style w:type="table" w:styleId="Table3Deffects1">
    <w:name w:val="Table 3D effects 1"/>
    <w:basedOn w:val="TableNormal"/>
    <w:semiHidden/>
    <w:rsid w:val="005A5E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Level1">
    <w:name w:val="Level 1"/>
    <w:basedOn w:val="Normal"/>
    <w:rsid w:val="005A5EEF"/>
    <w:pPr>
      <w:numPr>
        <w:numId w:val="12"/>
      </w:numPr>
      <w:tabs>
        <w:tab w:val="clear" w:pos="720"/>
        <w:tab w:val="num" w:pos="360"/>
      </w:tabs>
      <w:spacing w:after="240"/>
      <w:ind w:left="0" w:firstLine="0"/>
      <w:jc w:val="both"/>
      <w:outlineLvl w:val="0"/>
    </w:pPr>
  </w:style>
  <w:style w:type="paragraph" w:customStyle="1" w:styleId="Level2">
    <w:name w:val="Level 2"/>
    <w:basedOn w:val="Normal"/>
    <w:rsid w:val="005A5EEF"/>
    <w:pPr>
      <w:numPr>
        <w:ilvl w:val="1"/>
        <w:numId w:val="12"/>
      </w:numPr>
      <w:tabs>
        <w:tab w:val="clear" w:pos="1440"/>
        <w:tab w:val="num" w:pos="360"/>
      </w:tabs>
      <w:spacing w:after="240"/>
      <w:ind w:firstLine="0"/>
      <w:jc w:val="both"/>
      <w:outlineLvl w:val="1"/>
    </w:pPr>
  </w:style>
  <w:style w:type="paragraph" w:customStyle="1" w:styleId="Level3">
    <w:name w:val="Level 3"/>
    <w:basedOn w:val="Heading3"/>
    <w:rsid w:val="005A5EEF"/>
    <w:pPr>
      <w:numPr>
        <w:numId w:val="12"/>
      </w:numPr>
      <w:tabs>
        <w:tab w:val="clear" w:pos="2160"/>
        <w:tab w:val="num" w:pos="360"/>
      </w:tabs>
      <w:ind w:left="0" w:firstLine="0"/>
    </w:pPr>
  </w:style>
  <w:style w:type="paragraph" w:customStyle="1" w:styleId="Level4">
    <w:name w:val="Level 4"/>
    <w:basedOn w:val="Normal"/>
    <w:rsid w:val="005A5EEF"/>
    <w:pPr>
      <w:numPr>
        <w:ilvl w:val="3"/>
        <w:numId w:val="12"/>
      </w:numPr>
      <w:tabs>
        <w:tab w:val="clear" w:pos="2880"/>
        <w:tab w:val="num" w:pos="360"/>
      </w:tabs>
      <w:spacing w:after="240"/>
      <w:ind w:left="0" w:firstLine="0"/>
      <w:jc w:val="both"/>
      <w:outlineLvl w:val="3"/>
    </w:pPr>
  </w:style>
  <w:style w:type="paragraph" w:customStyle="1" w:styleId="Level5">
    <w:name w:val="Level 5"/>
    <w:basedOn w:val="Normal"/>
    <w:rsid w:val="005A5EEF"/>
    <w:pPr>
      <w:numPr>
        <w:ilvl w:val="4"/>
        <w:numId w:val="12"/>
      </w:numPr>
      <w:tabs>
        <w:tab w:val="clear" w:pos="3600"/>
        <w:tab w:val="num" w:pos="360"/>
      </w:tabs>
      <w:spacing w:after="240"/>
      <w:ind w:left="0" w:firstLine="0"/>
      <w:jc w:val="both"/>
      <w:outlineLvl w:val="4"/>
    </w:pPr>
  </w:style>
  <w:style w:type="paragraph" w:customStyle="1" w:styleId="Level6">
    <w:name w:val="Level 6"/>
    <w:basedOn w:val="Normal"/>
    <w:rsid w:val="005A5EEF"/>
    <w:pPr>
      <w:numPr>
        <w:ilvl w:val="5"/>
        <w:numId w:val="12"/>
      </w:numPr>
      <w:tabs>
        <w:tab w:val="clear" w:pos="4320"/>
        <w:tab w:val="num" w:pos="360"/>
      </w:tabs>
      <w:spacing w:after="240"/>
      <w:ind w:left="0" w:firstLine="0"/>
      <w:jc w:val="both"/>
      <w:outlineLvl w:val="5"/>
    </w:pPr>
  </w:style>
  <w:style w:type="paragraph" w:customStyle="1" w:styleId="Level7">
    <w:name w:val="Level 7"/>
    <w:basedOn w:val="Normal"/>
    <w:rsid w:val="005A5EEF"/>
    <w:pPr>
      <w:numPr>
        <w:ilvl w:val="6"/>
        <w:numId w:val="12"/>
      </w:numPr>
      <w:tabs>
        <w:tab w:val="clear" w:pos="5040"/>
        <w:tab w:val="num" w:pos="360"/>
      </w:tabs>
      <w:spacing w:after="240"/>
      <w:ind w:left="0" w:firstLine="0"/>
      <w:jc w:val="both"/>
      <w:outlineLvl w:val="6"/>
    </w:pPr>
  </w:style>
  <w:style w:type="paragraph" w:customStyle="1" w:styleId="Level8">
    <w:name w:val="Level 8"/>
    <w:basedOn w:val="Normal"/>
    <w:rsid w:val="005A5EEF"/>
    <w:pPr>
      <w:numPr>
        <w:ilvl w:val="7"/>
        <w:numId w:val="12"/>
      </w:numPr>
      <w:tabs>
        <w:tab w:val="clear" w:pos="5760"/>
        <w:tab w:val="num" w:pos="360"/>
      </w:tabs>
      <w:spacing w:after="240"/>
      <w:ind w:left="0" w:firstLine="0"/>
      <w:jc w:val="both"/>
      <w:outlineLvl w:val="7"/>
    </w:pPr>
  </w:style>
  <w:style w:type="paragraph" w:customStyle="1" w:styleId="Level9">
    <w:name w:val="Level 9"/>
    <w:basedOn w:val="Normal"/>
    <w:rsid w:val="005A5EEF"/>
    <w:pPr>
      <w:numPr>
        <w:ilvl w:val="8"/>
        <w:numId w:val="12"/>
      </w:numPr>
      <w:tabs>
        <w:tab w:val="clear" w:pos="6480"/>
        <w:tab w:val="num" w:pos="360"/>
      </w:tabs>
      <w:spacing w:after="240"/>
      <w:ind w:left="0" w:firstLine="0"/>
      <w:jc w:val="both"/>
      <w:outlineLvl w:val="8"/>
    </w:pPr>
  </w:style>
  <w:style w:type="paragraph" w:customStyle="1" w:styleId="BlockText5">
    <w:name w:val="Block Text .5"/>
    <w:basedOn w:val="BlockText"/>
    <w:rsid w:val="005A5EEF"/>
    <w:pPr>
      <w:ind w:left="720" w:right="720"/>
    </w:pPr>
  </w:style>
  <w:style w:type="paragraph" w:customStyle="1" w:styleId="TitleBUC">
    <w:name w:val="Title BUC"/>
    <w:basedOn w:val="Normal"/>
    <w:rsid w:val="005A5EEF"/>
    <w:pPr>
      <w:spacing w:after="240"/>
      <w:jc w:val="center"/>
    </w:pPr>
    <w:rPr>
      <w:b/>
      <w:bCs/>
      <w:szCs w:val="20"/>
      <w:u w:val="single"/>
    </w:rPr>
  </w:style>
  <w:style w:type="paragraph" w:customStyle="1" w:styleId="TitleUnderline">
    <w:name w:val="Title Underline"/>
    <w:basedOn w:val="Title"/>
    <w:next w:val="BodyText"/>
    <w:rsid w:val="005A5EEF"/>
    <w:rPr>
      <w:u w:val="single"/>
    </w:rPr>
  </w:style>
  <w:style w:type="character" w:styleId="PageNumber">
    <w:name w:val="page number"/>
    <w:basedOn w:val="DefaultParagraphFont"/>
    <w:rsid w:val="00E86679"/>
  </w:style>
  <w:style w:type="paragraph" w:customStyle="1" w:styleId="Indent">
    <w:name w:val="Indent"/>
    <w:basedOn w:val="Normal"/>
    <w:rsid w:val="00637DD2"/>
    <w:pPr>
      <w:ind w:left="700"/>
    </w:pPr>
    <w:rPr>
      <w:b/>
    </w:rPr>
  </w:style>
  <w:style w:type="paragraph" w:customStyle="1" w:styleId="Issues">
    <w:name w:val="Issues"/>
    <w:basedOn w:val="Normal"/>
    <w:rsid w:val="00592C0B"/>
    <w:pPr>
      <w:spacing w:after="240"/>
      <w:ind w:left="720" w:hanging="720"/>
    </w:pPr>
  </w:style>
  <w:style w:type="paragraph" w:customStyle="1" w:styleId="AppendixList">
    <w:name w:val="AppendixList"/>
    <w:basedOn w:val="Normal"/>
    <w:rsid w:val="009D2AF4"/>
    <w:pPr>
      <w:tabs>
        <w:tab w:val="right" w:leader="dot" w:pos="9360"/>
      </w:tabs>
      <w:spacing w:after="240"/>
    </w:pPr>
  </w:style>
  <w:style w:type="paragraph" w:customStyle="1" w:styleId="Title2">
    <w:name w:val="Title 2"/>
    <w:basedOn w:val="Title"/>
    <w:rsid w:val="00637DD2"/>
    <w:pPr>
      <w:pBdr>
        <w:top w:val="single" w:sz="4" w:space="1" w:color="auto"/>
        <w:bottom w:val="single" w:sz="4" w:space="1" w:color="auto"/>
      </w:pBdr>
      <w:spacing w:before="480" w:after="480"/>
    </w:pPr>
  </w:style>
  <w:style w:type="paragraph" w:customStyle="1" w:styleId="AppTitle">
    <w:name w:val="App Title"/>
    <w:basedOn w:val="BodyText"/>
    <w:rsid w:val="00EE542A"/>
    <w:pPr>
      <w:spacing w:before="240" w:after="0"/>
      <w:jc w:val="center"/>
    </w:pPr>
    <w:rPr>
      <w:b/>
      <w:sz w:val="32"/>
      <w:szCs w:val="32"/>
    </w:rPr>
  </w:style>
  <w:style w:type="character" w:styleId="Hyperlink">
    <w:name w:val="Hyperlink"/>
    <w:basedOn w:val="DefaultParagraphFont"/>
    <w:uiPriority w:val="99"/>
    <w:rsid w:val="00F97914"/>
    <w:rPr>
      <w:color w:val="0000FF"/>
      <w:u w:val="single"/>
    </w:rPr>
  </w:style>
  <w:style w:type="paragraph" w:customStyle="1" w:styleId="FirstPageFooter">
    <w:name w:val="First Page Footer"/>
    <w:basedOn w:val="Footer"/>
    <w:rsid w:val="000A122B"/>
    <w:pPr>
      <w:tabs>
        <w:tab w:val="clear" w:pos="4680"/>
      </w:tabs>
    </w:pPr>
    <w:rPr>
      <w:rFonts w:ascii="Arial" w:hAnsi="Arial" w:cs="Arial"/>
      <w:sz w:val="16"/>
      <w:szCs w:val="16"/>
    </w:rPr>
  </w:style>
  <w:style w:type="character" w:customStyle="1" w:styleId="SignatureChar">
    <w:name w:val="Signature Char"/>
    <w:basedOn w:val="DefaultParagraphFont"/>
    <w:link w:val="Signature"/>
    <w:rsid w:val="001F3C96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F5D94"/>
    <w:rPr>
      <w:sz w:val="16"/>
      <w:szCs w:val="16"/>
    </w:rPr>
  </w:style>
  <w:style w:type="paragraph" w:styleId="Revision">
    <w:name w:val="Revision"/>
    <w:hidden/>
    <w:uiPriority w:val="99"/>
    <w:semiHidden/>
    <w:rsid w:val="00DF5D9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240AB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</w:rPr>
  </w:style>
  <w:style w:type="character" w:customStyle="1" w:styleId="CommentTextChar">
    <w:name w:val="Comment Text Char"/>
    <w:basedOn w:val="DefaultParagraphFont"/>
    <w:link w:val="CommentText"/>
    <w:semiHidden/>
    <w:rsid w:val="0077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LASS Wor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3366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87C8-0450-4EB4-A786-90E18A48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Adoption Materials</vt:lpstr>
    </vt:vector>
  </TitlesOfParts>
  <Company>Traveling Coaches, Inc.</Company>
  <LinksUpToDate>false</LinksUpToDate>
  <CharactersWithSpaces>12760</CharactersWithSpaces>
  <SharedDoc>false</SharedDoc>
  <HLinks>
    <vt:vector size="60" baseType="variant"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_Toc73240175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_Toc73240174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_Toc73240173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_Toc73240172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_Toc73240171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_Toc73240170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_Toc73240169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_Toc73240168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_Toc73240167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_Toc73240166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Adoption Materials</dc:title>
  <dc:subject>NetDocuments 18.2</dc:subject>
  <dc:creator>Traveling Coaches, Inc.</dc:creator>
  <cp:keywords/>
  <dc:description/>
  <cp:lastModifiedBy>DCap</cp:lastModifiedBy>
  <cp:revision>2</cp:revision>
  <cp:lastPrinted>2006-08-09T18:42:00Z</cp:lastPrinted>
  <dcterms:created xsi:type="dcterms:W3CDTF">2019-01-24T18:01:00Z</dcterms:created>
  <dcterms:modified xsi:type="dcterms:W3CDTF">2019-01-24T18:01:00Z</dcterms:modified>
  <cp:category>Exercise Document</cp:category>
  <cp:contentStatus>UAM_NETD182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